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5DA20" w14:textId="2899FB8B" w:rsidR="00D27E6A" w:rsidRPr="00CD5D79" w:rsidRDefault="001569D7" w:rsidP="00CD5D79">
      <w:pPr>
        <w:pStyle w:val="CU-01Bodycopystandard"/>
      </w:pPr>
      <w:bookmarkStart w:id="0" w:name="_Toc260752022"/>
      <w:r w:rsidRPr="00CD5D79">
        <w:t>“</w:t>
      </w:r>
      <w:r w:rsidR="00D27E6A" w:rsidRPr="00CD5D79">
        <w:t xml:space="preserve">Our Rates &amp; </w:t>
      </w:r>
      <w:r w:rsidR="009C5F8C" w:rsidRPr="00CD5D79">
        <w:t>Service Charges</w:t>
      </w:r>
      <w:r w:rsidRPr="00CD5D79">
        <w:t>”</w:t>
      </w:r>
      <w:r w:rsidR="00D27E6A" w:rsidRPr="00CD5D79">
        <w:t xml:space="preserve"> explains current terms, rates</w:t>
      </w:r>
      <w:r w:rsidR="0071335C" w:rsidRPr="00CD5D79">
        <w:t xml:space="preserve"> </w:t>
      </w:r>
      <w:r w:rsidR="00C00C0F" w:rsidRPr="00CD5D79">
        <w:t xml:space="preserve">and </w:t>
      </w:r>
      <w:r w:rsidR="00D27E6A" w:rsidRPr="00CD5D79">
        <w:t xml:space="preserve">service charges applicable to savings, checking and certificate accounts </w:t>
      </w:r>
      <w:r w:rsidR="00C00C0F" w:rsidRPr="00CD5D79">
        <w:t>we offer</w:t>
      </w:r>
      <w:r w:rsidR="00D27E6A" w:rsidRPr="00CD5D79">
        <w:t>. We may offer other rates and require other service charges or amend the rates and service charges</w:t>
      </w:r>
      <w:r w:rsidR="0071335C" w:rsidRPr="00CD5D79">
        <w:t>,</w:t>
      </w:r>
      <w:r w:rsidR="00D27E6A" w:rsidRPr="00CD5D79">
        <w:t xml:space="preserve"> as explained in this disclosure</w:t>
      </w:r>
      <w:r w:rsidR="0071335C" w:rsidRPr="00CD5D79">
        <w:t>,</w:t>
      </w:r>
      <w:r w:rsidR="00D27E6A" w:rsidRPr="00CD5D79">
        <w:t xml:space="preserve"> from time to time. Each owner on an account agrees to the terms described in this disclosure and acknowledges that it is a part of the Member Service Agreement (MSA).</w:t>
      </w:r>
    </w:p>
    <w:p w14:paraId="795DE5B2" w14:textId="3E3CE33C" w:rsidR="00C17A33" w:rsidRPr="00047D7E" w:rsidRDefault="00C17A33" w:rsidP="00B52E5F">
      <w:pPr>
        <w:pStyle w:val="Heading1"/>
      </w:pPr>
      <w:r>
        <w:t xml:space="preserve">Rates for </w:t>
      </w:r>
      <w:bookmarkEnd w:id="0"/>
      <w:r w:rsidR="001F5605" w:rsidRPr="009D4DF7">
        <w:t>Savings, Checking and Certificate Accounts</w:t>
      </w:r>
    </w:p>
    <w:p w14:paraId="2241E968" w14:textId="77777777" w:rsidR="00C17A33" w:rsidRPr="00302BD6" w:rsidRDefault="00C17A33" w:rsidP="00C17A33">
      <w:pPr>
        <w:rPr>
          <w:sz w:val="8"/>
          <w:szCs w:val="8"/>
        </w:rPr>
      </w:pPr>
    </w:p>
    <w:tbl>
      <w:tblPr>
        <w:tblW w:w="5000" w:type="pct"/>
        <w:tblBorders>
          <w:top w:val="single" w:sz="4" w:space="0" w:color="000000"/>
          <w:bottom w:val="single" w:sz="4" w:space="0" w:color="000000"/>
          <w:insideH w:val="single" w:sz="4" w:space="0" w:color="000000"/>
          <w:insideV w:val="single" w:sz="4" w:space="0" w:color="000000"/>
        </w:tblBorders>
        <w:tblCellMar>
          <w:top w:w="86" w:type="dxa"/>
          <w:left w:w="0" w:type="dxa"/>
          <w:bottom w:w="58" w:type="dxa"/>
          <w:right w:w="0" w:type="dxa"/>
        </w:tblCellMar>
        <w:tblLook w:val="04A0" w:firstRow="1" w:lastRow="0" w:firstColumn="1" w:lastColumn="0" w:noHBand="0" w:noVBand="1"/>
      </w:tblPr>
      <w:tblGrid>
        <w:gridCol w:w="3510"/>
        <w:gridCol w:w="1169"/>
        <w:gridCol w:w="1469"/>
        <w:gridCol w:w="1255"/>
        <w:gridCol w:w="1112"/>
        <w:gridCol w:w="1324"/>
        <w:gridCol w:w="961"/>
      </w:tblGrid>
      <w:tr w:rsidR="00CD5D79" w:rsidRPr="000A76A7" w14:paraId="0BA36117" w14:textId="77777777" w:rsidTr="00CD5D79">
        <w:trPr>
          <w:cantSplit/>
          <w:trHeight w:val="144"/>
          <w:tblHeader/>
        </w:trPr>
        <w:tc>
          <w:tcPr>
            <w:tcW w:w="1625" w:type="pct"/>
            <w:shd w:val="clear" w:color="auto" w:fill="D9E2F3" w:themeFill="accent1" w:themeFillTint="33"/>
            <w:tcMar>
              <w:left w:w="115" w:type="dxa"/>
            </w:tcMar>
          </w:tcPr>
          <w:p w14:paraId="55A40B7A" w14:textId="77777777" w:rsidR="00CD5D79" w:rsidRPr="000A76A7" w:rsidRDefault="00CD5D79" w:rsidP="00EC7CB9">
            <w:pPr>
              <w:pStyle w:val="CU-06RFcenteredboldtitles"/>
              <w:rPr>
                <w:rFonts w:cs="Arial"/>
                <w:szCs w:val="18"/>
              </w:rPr>
            </w:pPr>
            <w:r w:rsidRPr="000A76A7">
              <w:rPr>
                <w:rFonts w:cs="Arial"/>
                <w:szCs w:val="18"/>
              </w:rPr>
              <w:t>Effective Date:</w:t>
            </w:r>
          </w:p>
        </w:tc>
        <w:tc>
          <w:tcPr>
            <w:tcW w:w="541" w:type="pct"/>
            <w:vMerge w:val="restart"/>
            <w:shd w:val="clear" w:color="auto" w:fill="D9E2F3" w:themeFill="accent1" w:themeFillTint="33"/>
            <w:vAlign w:val="center"/>
          </w:tcPr>
          <w:p w14:paraId="11593937" w14:textId="77777777" w:rsidR="00CD5D79" w:rsidRPr="000A76A7" w:rsidRDefault="00CD5D79" w:rsidP="00735EF8">
            <w:pPr>
              <w:pStyle w:val="CU-06RFcenteredboldtitles"/>
              <w:rPr>
                <w:rFonts w:cs="Arial"/>
                <w:szCs w:val="18"/>
              </w:rPr>
            </w:pPr>
            <w:r w:rsidRPr="000A76A7">
              <w:rPr>
                <w:rFonts w:cs="Arial"/>
                <w:szCs w:val="18"/>
              </w:rPr>
              <w:t>Dividend</w:t>
            </w:r>
            <w:r w:rsidRPr="000A76A7">
              <w:rPr>
                <w:rFonts w:cs="Arial"/>
                <w:szCs w:val="18"/>
              </w:rPr>
              <w:br/>
              <w:t>Rate</w:t>
            </w:r>
          </w:p>
        </w:tc>
        <w:tc>
          <w:tcPr>
            <w:tcW w:w="680" w:type="pct"/>
            <w:vMerge w:val="restart"/>
            <w:shd w:val="clear" w:color="auto" w:fill="D9E2F3" w:themeFill="accent1" w:themeFillTint="33"/>
            <w:vAlign w:val="center"/>
          </w:tcPr>
          <w:p w14:paraId="26F4AA0E" w14:textId="77777777" w:rsidR="00CD5D79" w:rsidRPr="000A76A7" w:rsidRDefault="00CD5D79" w:rsidP="00735EF8">
            <w:pPr>
              <w:pStyle w:val="CU-06RFcenteredboldtitles"/>
              <w:rPr>
                <w:rFonts w:cs="Arial"/>
                <w:szCs w:val="18"/>
              </w:rPr>
            </w:pPr>
            <w:r w:rsidRPr="000A76A7">
              <w:rPr>
                <w:rFonts w:cs="Arial"/>
                <w:szCs w:val="18"/>
              </w:rPr>
              <w:t>Annual</w:t>
            </w:r>
            <w:r w:rsidRPr="000A76A7">
              <w:rPr>
                <w:rFonts w:cs="Arial"/>
                <w:szCs w:val="18"/>
              </w:rPr>
              <w:br/>
              <w:t>Percentage</w:t>
            </w:r>
            <w:r w:rsidRPr="000A76A7">
              <w:rPr>
                <w:rFonts w:cs="Arial"/>
                <w:szCs w:val="18"/>
              </w:rPr>
              <w:br/>
              <w:t>Yield</w:t>
            </w:r>
          </w:p>
        </w:tc>
        <w:tc>
          <w:tcPr>
            <w:tcW w:w="581" w:type="pct"/>
            <w:vMerge w:val="restart"/>
            <w:shd w:val="clear" w:color="auto" w:fill="D9E2F3" w:themeFill="accent1" w:themeFillTint="33"/>
            <w:vAlign w:val="center"/>
          </w:tcPr>
          <w:p w14:paraId="132CA1F9" w14:textId="77777777" w:rsidR="00CD5D79" w:rsidRPr="000A76A7" w:rsidRDefault="00CD5D79" w:rsidP="00735EF8">
            <w:pPr>
              <w:pStyle w:val="CU-06RFcenteredboldtitles"/>
              <w:rPr>
                <w:rFonts w:cs="Arial"/>
                <w:szCs w:val="18"/>
              </w:rPr>
            </w:pPr>
            <w:r w:rsidRPr="000A76A7">
              <w:rPr>
                <w:rFonts w:cs="Arial"/>
                <w:szCs w:val="18"/>
              </w:rPr>
              <w:t>Minimum</w:t>
            </w:r>
            <w:r w:rsidRPr="000A76A7">
              <w:rPr>
                <w:rFonts w:cs="Arial"/>
                <w:szCs w:val="18"/>
              </w:rPr>
              <w:br/>
              <w:t>Opening</w:t>
            </w:r>
            <w:r w:rsidRPr="000A76A7">
              <w:rPr>
                <w:rFonts w:cs="Arial"/>
                <w:szCs w:val="18"/>
              </w:rPr>
              <w:br/>
              <w:t>Balance</w:t>
            </w:r>
          </w:p>
        </w:tc>
        <w:tc>
          <w:tcPr>
            <w:tcW w:w="515" w:type="pct"/>
            <w:vMerge w:val="restart"/>
            <w:shd w:val="clear" w:color="auto" w:fill="D9E2F3" w:themeFill="accent1" w:themeFillTint="33"/>
            <w:vAlign w:val="center"/>
          </w:tcPr>
          <w:p w14:paraId="324E7A7D" w14:textId="059DCCA7" w:rsidR="00CD5D79" w:rsidRPr="000A76A7" w:rsidRDefault="00CD5D79" w:rsidP="00735EF8">
            <w:pPr>
              <w:pStyle w:val="CU-06RFcenteredboldtitles"/>
              <w:rPr>
                <w:rFonts w:cs="Arial"/>
                <w:szCs w:val="18"/>
              </w:rPr>
            </w:pPr>
            <w:r w:rsidRPr="000A76A7">
              <w:rPr>
                <w:rFonts w:cs="Arial"/>
                <w:szCs w:val="18"/>
              </w:rPr>
              <w:t>Minimum</w:t>
            </w:r>
            <w:r w:rsidRPr="000A76A7">
              <w:rPr>
                <w:rFonts w:cs="Arial"/>
                <w:szCs w:val="18"/>
              </w:rPr>
              <w:br/>
              <w:t>Balance</w:t>
            </w:r>
            <w:r>
              <w:rPr>
                <w:rFonts w:cs="Arial"/>
                <w:szCs w:val="18"/>
              </w:rPr>
              <w:t xml:space="preserve"> </w:t>
            </w:r>
            <w:r w:rsidRPr="000A76A7">
              <w:rPr>
                <w:rFonts w:cs="Arial"/>
                <w:szCs w:val="18"/>
              </w:rPr>
              <w:t xml:space="preserve">to </w:t>
            </w:r>
            <w:r>
              <w:rPr>
                <w:rFonts w:cs="Arial"/>
                <w:szCs w:val="18"/>
              </w:rPr>
              <w:br/>
            </w:r>
            <w:r w:rsidRPr="000A76A7">
              <w:rPr>
                <w:rFonts w:cs="Arial"/>
                <w:szCs w:val="18"/>
              </w:rPr>
              <w:t>Earn</w:t>
            </w:r>
            <w:r>
              <w:rPr>
                <w:rFonts w:cs="Arial"/>
                <w:szCs w:val="18"/>
              </w:rPr>
              <w:t xml:space="preserve"> </w:t>
            </w:r>
            <w:r w:rsidRPr="000A76A7">
              <w:rPr>
                <w:rFonts w:cs="Arial"/>
                <w:szCs w:val="18"/>
              </w:rPr>
              <w:t>APY</w:t>
            </w:r>
          </w:p>
        </w:tc>
        <w:tc>
          <w:tcPr>
            <w:tcW w:w="613" w:type="pct"/>
            <w:vMerge w:val="restart"/>
            <w:shd w:val="clear" w:color="auto" w:fill="D9E2F3" w:themeFill="accent1" w:themeFillTint="33"/>
            <w:vAlign w:val="center"/>
          </w:tcPr>
          <w:p w14:paraId="1C51A8EF" w14:textId="6719F92B" w:rsidR="00CD5D79" w:rsidRPr="000A76A7" w:rsidRDefault="00CD5D79" w:rsidP="00735EF8">
            <w:pPr>
              <w:pStyle w:val="CU-06RFcenteredboldtitles"/>
              <w:rPr>
                <w:rFonts w:cs="Arial"/>
                <w:szCs w:val="18"/>
              </w:rPr>
            </w:pPr>
            <w:r w:rsidRPr="000A76A7">
              <w:rPr>
                <w:rFonts w:cs="Arial"/>
                <w:szCs w:val="18"/>
              </w:rPr>
              <w:t>Dividends</w:t>
            </w:r>
            <w:r w:rsidRPr="000A76A7">
              <w:rPr>
                <w:rFonts w:cs="Arial"/>
                <w:szCs w:val="18"/>
              </w:rPr>
              <w:br/>
              <w:t>Compounded</w:t>
            </w:r>
            <w:r w:rsidRPr="000A76A7">
              <w:rPr>
                <w:rFonts w:cs="Arial"/>
                <w:szCs w:val="18"/>
              </w:rPr>
              <w:br/>
            </w:r>
            <w:r>
              <w:rPr>
                <w:rFonts w:cs="Arial"/>
                <w:szCs w:val="18"/>
              </w:rPr>
              <w:t>a</w:t>
            </w:r>
            <w:r w:rsidRPr="000A76A7">
              <w:rPr>
                <w:rFonts w:cs="Arial"/>
                <w:szCs w:val="18"/>
              </w:rPr>
              <w:t>nd Credited</w:t>
            </w:r>
          </w:p>
        </w:tc>
        <w:tc>
          <w:tcPr>
            <w:tcW w:w="445" w:type="pct"/>
            <w:vMerge w:val="restart"/>
            <w:shd w:val="clear" w:color="auto" w:fill="D9E2F3" w:themeFill="accent1" w:themeFillTint="33"/>
            <w:vAlign w:val="center"/>
          </w:tcPr>
          <w:p w14:paraId="03CA86D6" w14:textId="77777777" w:rsidR="00CD5D79" w:rsidRPr="000A76A7" w:rsidRDefault="00CD5D79" w:rsidP="00735EF8">
            <w:pPr>
              <w:pStyle w:val="CU-06RFcenteredboldtitles"/>
              <w:rPr>
                <w:rFonts w:cs="Arial"/>
                <w:szCs w:val="18"/>
              </w:rPr>
            </w:pPr>
            <w:r w:rsidRPr="000A76A7">
              <w:rPr>
                <w:rFonts w:cs="Arial"/>
                <w:szCs w:val="18"/>
              </w:rPr>
              <w:t>Dividend</w:t>
            </w:r>
            <w:r w:rsidRPr="000A76A7">
              <w:rPr>
                <w:rFonts w:cs="Arial"/>
                <w:szCs w:val="18"/>
              </w:rPr>
              <w:br/>
              <w:t>Period</w:t>
            </w:r>
          </w:p>
        </w:tc>
      </w:tr>
      <w:tr w:rsidR="00CD5D79" w:rsidRPr="000A76A7" w14:paraId="69C411C8" w14:textId="77777777" w:rsidTr="00CD5D79">
        <w:trPr>
          <w:cantSplit/>
          <w:trHeight w:val="20"/>
          <w:tblHeader/>
        </w:trPr>
        <w:tc>
          <w:tcPr>
            <w:tcW w:w="1625" w:type="pct"/>
            <w:shd w:val="clear" w:color="auto" w:fill="auto"/>
            <w:tcMar>
              <w:left w:w="115" w:type="dxa"/>
            </w:tcMar>
            <w:vAlign w:val="center"/>
          </w:tcPr>
          <w:p w14:paraId="15D05C51" w14:textId="0B9EB6AB" w:rsidR="00CD5D79" w:rsidRPr="000A76A7" w:rsidRDefault="00BE64E8" w:rsidP="00D53D20">
            <w:pPr>
              <w:pStyle w:val="CU-06RFcenteredboldtitles"/>
              <w:rPr>
                <w:rFonts w:cs="Arial"/>
                <w:szCs w:val="18"/>
              </w:rPr>
            </w:pPr>
            <w:r>
              <w:rPr>
                <w:rFonts w:cs="Arial"/>
                <w:szCs w:val="18"/>
              </w:rPr>
              <w:t>06-03</w:t>
            </w:r>
            <w:r w:rsidR="00CD5D79">
              <w:rPr>
                <w:rFonts w:cs="Arial"/>
                <w:szCs w:val="18"/>
              </w:rPr>
              <w:t>-25</w:t>
            </w:r>
          </w:p>
        </w:tc>
        <w:tc>
          <w:tcPr>
            <w:tcW w:w="541" w:type="pct"/>
            <w:vMerge/>
            <w:shd w:val="clear" w:color="auto" w:fill="auto"/>
          </w:tcPr>
          <w:p w14:paraId="7572424D" w14:textId="77777777" w:rsidR="00CD5D79" w:rsidRPr="000A76A7" w:rsidRDefault="00CD5D79" w:rsidP="00735EF8">
            <w:pPr>
              <w:pStyle w:val="CU-08RFAccountTiers"/>
              <w:ind w:left="0"/>
              <w:jc w:val="center"/>
              <w:rPr>
                <w:rFonts w:cs="Arial"/>
                <w:b/>
                <w:bCs/>
                <w:szCs w:val="18"/>
              </w:rPr>
            </w:pPr>
          </w:p>
        </w:tc>
        <w:tc>
          <w:tcPr>
            <w:tcW w:w="680" w:type="pct"/>
            <w:vMerge/>
            <w:shd w:val="clear" w:color="auto" w:fill="auto"/>
          </w:tcPr>
          <w:p w14:paraId="3B666AA0" w14:textId="77777777" w:rsidR="00CD5D79" w:rsidRPr="000A76A7" w:rsidRDefault="00CD5D79" w:rsidP="00735EF8">
            <w:pPr>
              <w:pStyle w:val="CU-08RFAccountTiers"/>
              <w:ind w:left="0"/>
              <w:rPr>
                <w:rFonts w:cs="Arial"/>
                <w:szCs w:val="18"/>
              </w:rPr>
            </w:pPr>
          </w:p>
        </w:tc>
        <w:tc>
          <w:tcPr>
            <w:tcW w:w="581" w:type="pct"/>
            <w:vMerge/>
            <w:shd w:val="clear" w:color="auto" w:fill="auto"/>
          </w:tcPr>
          <w:p w14:paraId="63155045" w14:textId="77777777" w:rsidR="00CD5D79" w:rsidRPr="000A76A7" w:rsidRDefault="00CD5D79" w:rsidP="00735EF8">
            <w:pPr>
              <w:pStyle w:val="CU-08RFAccountTiers"/>
              <w:ind w:left="0"/>
              <w:rPr>
                <w:rFonts w:cs="Arial"/>
                <w:szCs w:val="18"/>
              </w:rPr>
            </w:pPr>
          </w:p>
        </w:tc>
        <w:tc>
          <w:tcPr>
            <w:tcW w:w="515" w:type="pct"/>
            <w:vMerge/>
            <w:shd w:val="clear" w:color="auto" w:fill="auto"/>
          </w:tcPr>
          <w:p w14:paraId="43B5403B" w14:textId="77777777" w:rsidR="00CD5D79" w:rsidRPr="000A76A7" w:rsidRDefault="00CD5D79" w:rsidP="00735EF8">
            <w:pPr>
              <w:pStyle w:val="CU-08RFAccountTiers"/>
              <w:ind w:left="0"/>
              <w:rPr>
                <w:rFonts w:cs="Arial"/>
                <w:szCs w:val="18"/>
              </w:rPr>
            </w:pPr>
          </w:p>
        </w:tc>
        <w:tc>
          <w:tcPr>
            <w:tcW w:w="613" w:type="pct"/>
            <w:vMerge/>
            <w:shd w:val="clear" w:color="auto" w:fill="auto"/>
          </w:tcPr>
          <w:p w14:paraId="64AE1203" w14:textId="3A9825B2" w:rsidR="00CD5D79" w:rsidRPr="000A76A7" w:rsidRDefault="00CD5D79" w:rsidP="00735EF8">
            <w:pPr>
              <w:pStyle w:val="CU-08RFAccountTiers"/>
              <w:ind w:left="0"/>
              <w:rPr>
                <w:rFonts w:cs="Arial"/>
                <w:szCs w:val="18"/>
              </w:rPr>
            </w:pPr>
          </w:p>
        </w:tc>
        <w:tc>
          <w:tcPr>
            <w:tcW w:w="445" w:type="pct"/>
            <w:vMerge/>
            <w:shd w:val="clear" w:color="auto" w:fill="auto"/>
          </w:tcPr>
          <w:p w14:paraId="04F5EE4F" w14:textId="77777777" w:rsidR="00CD5D79" w:rsidRPr="000A76A7" w:rsidRDefault="00CD5D79" w:rsidP="00735EF8">
            <w:pPr>
              <w:pStyle w:val="CU-08RFAccountTiers"/>
              <w:ind w:left="0"/>
              <w:rPr>
                <w:rFonts w:cs="Arial"/>
                <w:szCs w:val="18"/>
              </w:rPr>
            </w:pPr>
          </w:p>
        </w:tc>
      </w:tr>
      <w:tr w:rsidR="00CD5D79" w:rsidRPr="000A76A7" w14:paraId="0F5F3DB0" w14:textId="77777777" w:rsidTr="002150A6">
        <w:tblPrEx>
          <w:tblCellMar>
            <w:top w:w="115" w:type="dxa"/>
            <w:bottom w:w="86" w:type="dxa"/>
          </w:tblCellMar>
        </w:tblPrEx>
        <w:trPr>
          <w:trHeight w:val="1165"/>
        </w:trPr>
        <w:tc>
          <w:tcPr>
            <w:tcW w:w="1625" w:type="pct"/>
            <w:tcBorders>
              <w:bottom w:val="single" w:sz="4" w:space="0" w:color="000000"/>
            </w:tcBorders>
            <w:shd w:val="clear" w:color="auto" w:fill="auto"/>
            <w:tcMar>
              <w:top w:w="43" w:type="dxa"/>
              <w:left w:w="115" w:type="dxa"/>
              <w:bottom w:w="43" w:type="dxa"/>
              <w:right w:w="115" w:type="dxa"/>
            </w:tcMar>
            <w:vAlign w:val="bottom"/>
          </w:tcPr>
          <w:p w14:paraId="4DC4B1C2" w14:textId="7A624310" w:rsidR="00516AF4" w:rsidRPr="000A76A7" w:rsidRDefault="00516AF4" w:rsidP="00EE1714">
            <w:pPr>
              <w:pStyle w:val="CU-08RFleft-justifiedcopy"/>
              <w:rPr>
                <w:b/>
              </w:rPr>
            </w:pPr>
            <w:r>
              <w:rPr>
                <w:b/>
              </w:rPr>
              <w:t>Regular Share Savings</w:t>
            </w:r>
            <w:r w:rsidRPr="000A76A7">
              <w:rPr>
                <w:b/>
              </w:rPr>
              <w:br/>
            </w:r>
            <w:r w:rsidRPr="000A76A7">
              <w:t>$0.00 - $15,000.00</w:t>
            </w:r>
            <w:r w:rsidRPr="000A76A7">
              <w:br/>
              <w:t>$15,000.01 - $50,000.00</w:t>
            </w:r>
            <w:r w:rsidRPr="000A76A7">
              <w:br/>
              <w:t>$50,000.01 - $100,000.00</w:t>
            </w:r>
            <w:r w:rsidRPr="000A76A7">
              <w:br/>
              <w:t xml:space="preserve">$100,000.01 and greater </w:t>
            </w:r>
          </w:p>
        </w:tc>
        <w:tc>
          <w:tcPr>
            <w:tcW w:w="541" w:type="pct"/>
            <w:tcBorders>
              <w:bottom w:val="single" w:sz="4" w:space="0" w:color="000000"/>
            </w:tcBorders>
            <w:shd w:val="clear" w:color="auto" w:fill="auto"/>
            <w:tcMar>
              <w:top w:w="43" w:type="dxa"/>
              <w:left w:w="115" w:type="dxa"/>
              <w:bottom w:w="43" w:type="dxa"/>
              <w:right w:w="115" w:type="dxa"/>
            </w:tcMar>
            <w:vAlign w:val="bottom"/>
          </w:tcPr>
          <w:p w14:paraId="045FA243" w14:textId="49042631" w:rsidR="00516AF4" w:rsidRPr="000A76A7" w:rsidRDefault="00516AF4" w:rsidP="00635DAD">
            <w:pPr>
              <w:pStyle w:val="CU-05RFcentered"/>
              <w:spacing w:line="264" w:lineRule="auto"/>
            </w:pPr>
            <w:r w:rsidRPr="000A76A7">
              <w:t>0.</w:t>
            </w:r>
            <w:r>
              <w:t>15</w:t>
            </w:r>
            <w:r w:rsidRPr="000A76A7">
              <w:t>%</w:t>
            </w:r>
            <w:r w:rsidRPr="000A76A7">
              <w:br/>
              <w:t>0.</w:t>
            </w:r>
            <w:r>
              <w:t>15</w:t>
            </w:r>
            <w:r w:rsidRPr="000A76A7">
              <w:t>%</w:t>
            </w:r>
            <w:r w:rsidRPr="000A76A7">
              <w:br/>
              <w:t>0.</w:t>
            </w:r>
            <w:r>
              <w:t>20</w:t>
            </w:r>
            <w:r w:rsidRPr="000A76A7">
              <w:t>%</w:t>
            </w:r>
            <w:r w:rsidRPr="000A76A7">
              <w:br/>
              <w:t>0.</w:t>
            </w:r>
            <w:r>
              <w:t>20</w:t>
            </w:r>
            <w:r w:rsidRPr="000A76A7">
              <w:t>%</w:t>
            </w:r>
          </w:p>
        </w:tc>
        <w:tc>
          <w:tcPr>
            <w:tcW w:w="680" w:type="pct"/>
            <w:tcBorders>
              <w:bottom w:val="single" w:sz="4" w:space="0" w:color="000000"/>
            </w:tcBorders>
            <w:shd w:val="clear" w:color="auto" w:fill="auto"/>
            <w:tcMar>
              <w:top w:w="43" w:type="dxa"/>
              <w:left w:w="115" w:type="dxa"/>
              <w:bottom w:w="43" w:type="dxa"/>
              <w:right w:w="115" w:type="dxa"/>
            </w:tcMar>
            <w:vAlign w:val="bottom"/>
          </w:tcPr>
          <w:p w14:paraId="343253C1" w14:textId="4F742A22" w:rsidR="00516AF4" w:rsidRPr="000A76A7" w:rsidRDefault="00516AF4" w:rsidP="00635DAD">
            <w:pPr>
              <w:pStyle w:val="CU-05RFcentered"/>
              <w:spacing w:line="264" w:lineRule="auto"/>
            </w:pPr>
            <w:r w:rsidRPr="000A76A7">
              <w:t>0.</w:t>
            </w:r>
            <w:r>
              <w:t>15</w:t>
            </w:r>
            <w:r w:rsidRPr="000A76A7">
              <w:t>%</w:t>
            </w:r>
            <w:r w:rsidRPr="000A76A7">
              <w:br/>
              <w:t>0.</w:t>
            </w:r>
            <w:r>
              <w:t>15</w:t>
            </w:r>
            <w:r w:rsidRPr="000A76A7">
              <w:t>%</w:t>
            </w:r>
            <w:r w:rsidRPr="000A76A7">
              <w:br/>
              <w:t>0.</w:t>
            </w:r>
            <w:r>
              <w:t>20</w:t>
            </w:r>
            <w:r w:rsidRPr="000A76A7">
              <w:t>%</w:t>
            </w:r>
            <w:r w:rsidRPr="000A76A7">
              <w:br/>
              <w:t>0.</w:t>
            </w:r>
            <w:r>
              <w:t>20</w:t>
            </w:r>
            <w:r w:rsidRPr="000A76A7">
              <w:t>%</w:t>
            </w:r>
          </w:p>
        </w:tc>
        <w:tc>
          <w:tcPr>
            <w:tcW w:w="581" w:type="pct"/>
            <w:tcBorders>
              <w:bottom w:val="single" w:sz="4" w:space="0" w:color="000000"/>
            </w:tcBorders>
            <w:shd w:val="clear" w:color="auto" w:fill="auto"/>
            <w:tcMar>
              <w:top w:w="43" w:type="dxa"/>
              <w:left w:w="115" w:type="dxa"/>
              <w:bottom w:w="43" w:type="dxa"/>
              <w:right w:w="115" w:type="dxa"/>
            </w:tcMar>
            <w:vAlign w:val="center"/>
          </w:tcPr>
          <w:p w14:paraId="09C3D07C" w14:textId="71CA9BBE" w:rsidR="00516AF4" w:rsidRPr="000A76A7" w:rsidRDefault="00516AF4" w:rsidP="00635DAD">
            <w:pPr>
              <w:spacing w:line="264" w:lineRule="auto"/>
              <w:jc w:val="center"/>
              <w:rPr>
                <w:rFonts w:cs="Arial"/>
                <w:sz w:val="18"/>
                <w:szCs w:val="18"/>
              </w:rPr>
            </w:pPr>
            <w:r>
              <w:rPr>
                <w:rFonts w:cs="Arial"/>
                <w:sz w:val="18"/>
                <w:szCs w:val="18"/>
              </w:rPr>
              <w:t>$25.00</w:t>
            </w:r>
          </w:p>
        </w:tc>
        <w:tc>
          <w:tcPr>
            <w:tcW w:w="515" w:type="pct"/>
            <w:tcBorders>
              <w:bottom w:val="single" w:sz="4" w:space="0" w:color="000000"/>
            </w:tcBorders>
            <w:shd w:val="clear" w:color="auto" w:fill="auto"/>
            <w:tcMar>
              <w:top w:w="43" w:type="dxa"/>
              <w:left w:w="115" w:type="dxa"/>
              <w:bottom w:w="43" w:type="dxa"/>
              <w:right w:w="115" w:type="dxa"/>
            </w:tcMar>
            <w:vAlign w:val="center"/>
          </w:tcPr>
          <w:p w14:paraId="3821CF75" w14:textId="087A2DB7" w:rsidR="00516AF4" w:rsidRPr="000A76A7" w:rsidRDefault="007B22BA" w:rsidP="00635DAD">
            <w:pPr>
              <w:spacing w:line="264" w:lineRule="auto"/>
              <w:jc w:val="center"/>
              <w:rPr>
                <w:rFonts w:cs="Arial"/>
                <w:sz w:val="18"/>
                <w:szCs w:val="18"/>
              </w:rPr>
            </w:pPr>
            <w:r>
              <w:rPr>
                <w:rFonts w:cs="Arial"/>
                <w:sz w:val="18"/>
                <w:szCs w:val="18"/>
              </w:rPr>
              <w:t>n/a</w:t>
            </w:r>
          </w:p>
        </w:tc>
        <w:tc>
          <w:tcPr>
            <w:tcW w:w="613" w:type="pct"/>
            <w:tcBorders>
              <w:bottom w:val="single" w:sz="4" w:space="0" w:color="000000"/>
            </w:tcBorders>
            <w:shd w:val="clear" w:color="auto" w:fill="auto"/>
            <w:tcMar>
              <w:top w:w="43" w:type="dxa"/>
              <w:left w:w="115" w:type="dxa"/>
              <w:bottom w:w="43" w:type="dxa"/>
              <w:right w:w="115" w:type="dxa"/>
            </w:tcMar>
            <w:vAlign w:val="center"/>
          </w:tcPr>
          <w:p w14:paraId="04208E01" w14:textId="46C9BA2A" w:rsidR="00516AF4" w:rsidRPr="000A76A7" w:rsidRDefault="00516AF4" w:rsidP="00635DAD">
            <w:pPr>
              <w:pStyle w:val="CU-05RFcentered"/>
              <w:spacing w:line="264" w:lineRule="auto"/>
            </w:pPr>
            <w:r w:rsidRPr="000A76A7">
              <w:t>Monthly</w:t>
            </w:r>
          </w:p>
        </w:tc>
        <w:tc>
          <w:tcPr>
            <w:tcW w:w="445" w:type="pct"/>
            <w:tcBorders>
              <w:bottom w:val="single" w:sz="4" w:space="0" w:color="000000"/>
            </w:tcBorders>
            <w:shd w:val="clear" w:color="auto" w:fill="auto"/>
            <w:tcMar>
              <w:top w:w="43" w:type="dxa"/>
              <w:left w:w="115" w:type="dxa"/>
              <w:bottom w:w="43" w:type="dxa"/>
              <w:right w:w="115" w:type="dxa"/>
            </w:tcMar>
            <w:vAlign w:val="center"/>
          </w:tcPr>
          <w:p w14:paraId="6FF46F50" w14:textId="77777777" w:rsidR="00516AF4" w:rsidRPr="000A76A7" w:rsidRDefault="00516AF4" w:rsidP="00635DAD">
            <w:pPr>
              <w:pStyle w:val="CU-05RFcentered"/>
              <w:spacing w:line="264" w:lineRule="auto"/>
            </w:pPr>
            <w:r w:rsidRPr="000A76A7">
              <w:t>Monthly</w:t>
            </w:r>
          </w:p>
        </w:tc>
      </w:tr>
      <w:tr w:rsidR="00CD5D79" w:rsidRPr="000A76A7" w14:paraId="1CDECCD2" w14:textId="77777777" w:rsidTr="002150A6">
        <w:tblPrEx>
          <w:tblCellMar>
            <w:top w:w="115" w:type="dxa"/>
            <w:bottom w:w="86" w:type="dxa"/>
          </w:tblCellMar>
        </w:tblPrEx>
        <w:trPr>
          <w:trHeight w:val="1165"/>
        </w:trPr>
        <w:tc>
          <w:tcPr>
            <w:tcW w:w="1625" w:type="pct"/>
            <w:tcBorders>
              <w:bottom w:val="single" w:sz="4" w:space="0" w:color="000000"/>
            </w:tcBorders>
            <w:shd w:val="clear" w:color="auto" w:fill="D9E2F3" w:themeFill="accent1" w:themeFillTint="33"/>
            <w:tcMar>
              <w:top w:w="43" w:type="dxa"/>
              <w:left w:w="115" w:type="dxa"/>
              <w:bottom w:w="43" w:type="dxa"/>
              <w:right w:w="115" w:type="dxa"/>
            </w:tcMar>
          </w:tcPr>
          <w:p w14:paraId="23EC8B0F" w14:textId="6ABA55D9" w:rsidR="00516AF4" w:rsidRDefault="00516AF4" w:rsidP="00302BD6">
            <w:pPr>
              <w:pStyle w:val="CU-08RFleft-justifiedcopy"/>
              <w:spacing w:before="0" w:line="264" w:lineRule="auto"/>
              <w:rPr>
                <w:b/>
              </w:rPr>
            </w:pPr>
            <w:r>
              <w:rPr>
                <w:b/>
                <w:bCs/>
              </w:rPr>
              <w:t>Kasasa Saver</w:t>
            </w:r>
            <w:r w:rsidRPr="000B20FE">
              <w:rPr>
                <w:b/>
                <w:bCs/>
              </w:rPr>
              <w:br/>
            </w:r>
            <w:r w:rsidRPr="00302BD6">
              <w:rPr>
                <w:i/>
                <w:iCs/>
              </w:rPr>
              <w:t>Qualifying Rate*</w:t>
            </w:r>
            <w:r w:rsidRPr="000B20FE">
              <w:br/>
              <w:t>$0.00 - $</w:t>
            </w:r>
            <w:r>
              <w:t>2</w:t>
            </w:r>
            <w:r w:rsidRPr="000B20FE">
              <w:t>0,000.00</w:t>
            </w:r>
            <w:r w:rsidRPr="000B20FE">
              <w:br/>
              <w:t>$</w:t>
            </w:r>
            <w:r>
              <w:t>2</w:t>
            </w:r>
            <w:r w:rsidRPr="000B20FE">
              <w:t>0,000.01 or more</w:t>
            </w:r>
            <w:r w:rsidRPr="000B20FE">
              <w:br/>
            </w:r>
            <w:r w:rsidRPr="00302BD6">
              <w:rPr>
                <w:i/>
                <w:iCs/>
              </w:rPr>
              <w:t xml:space="preserve">Non-qualifying Rate </w:t>
            </w:r>
            <w:r w:rsidRPr="00AB6533">
              <w:rPr>
                <w:i/>
                <w:iCs/>
                <w:sz w:val="16"/>
                <w:szCs w:val="16"/>
              </w:rPr>
              <w:t>(all balances</w:t>
            </w:r>
            <w:r w:rsidRPr="00302BD6">
              <w:rPr>
                <w:i/>
                <w:iCs/>
              </w:rPr>
              <w:t>)</w:t>
            </w:r>
          </w:p>
        </w:tc>
        <w:tc>
          <w:tcPr>
            <w:tcW w:w="541" w:type="pct"/>
            <w:tcBorders>
              <w:bottom w:val="single" w:sz="4" w:space="0" w:color="000000"/>
            </w:tcBorders>
            <w:shd w:val="clear" w:color="auto" w:fill="D9E2F3" w:themeFill="accent1" w:themeFillTint="33"/>
            <w:tcMar>
              <w:top w:w="43" w:type="dxa"/>
              <w:left w:w="115" w:type="dxa"/>
              <w:bottom w:w="43" w:type="dxa"/>
              <w:right w:w="115" w:type="dxa"/>
            </w:tcMar>
            <w:vAlign w:val="center"/>
          </w:tcPr>
          <w:p w14:paraId="449F961E" w14:textId="7EEBB937" w:rsidR="00516AF4" w:rsidRPr="000A76A7" w:rsidRDefault="00516AF4" w:rsidP="00635DAD">
            <w:pPr>
              <w:pStyle w:val="CU-05RFcentered"/>
              <w:spacing w:line="264" w:lineRule="auto"/>
            </w:pPr>
            <w:r>
              <w:br/>
            </w:r>
            <w:r>
              <w:br/>
              <w:t>2.96%</w:t>
            </w:r>
            <w:r>
              <w:br/>
              <w:t>0.25%</w:t>
            </w:r>
            <w:r>
              <w:br/>
              <w:t>0.05%</w:t>
            </w:r>
          </w:p>
        </w:tc>
        <w:tc>
          <w:tcPr>
            <w:tcW w:w="680" w:type="pct"/>
            <w:tcBorders>
              <w:bottom w:val="single" w:sz="4" w:space="0" w:color="000000"/>
            </w:tcBorders>
            <w:shd w:val="clear" w:color="auto" w:fill="D9E2F3" w:themeFill="accent1" w:themeFillTint="33"/>
            <w:tcMar>
              <w:top w:w="43" w:type="dxa"/>
              <w:left w:w="115" w:type="dxa"/>
              <w:bottom w:w="43" w:type="dxa"/>
              <w:right w:w="115" w:type="dxa"/>
            </w:tcMar>
            <w:vAlign w:val="center"/>
          </w:tcPr>
          <w:p w14:paraId="394ECFCF" w14:textId="72223260" w:rsidR="00516AF4" w:rsidRPr="000A76A7" w:rsidRDefault="00516AF4" w:rsidP="00635DAD">
            <w:pPr>
              <w:pStyle w:val="CU-05RFcentered"/>
              <w:spacing w:line="264" w:lineRule="auto"/>
            </w:pPr>
            <w:r>
              <w:br/>
            </w:r>
            <w:r>
              <w:br/>
              <w:t>3.00%</w:t>
            </w:r>
            <w:r>
              <w:br/>
              <w:t>3.00%-0.25%</w:t>
            </w:r>
            <w:r>
              <w:br/>
              <w:t>0.05%</w:t>
            </w:r>
          </w:p>
        </w:tc>
        <w:tc>
          <w:tcPr>
            <w:tcW w:w="581" w:type="pct"/>
            <w:tcBorders>
              <w:bottom w:val="single" w:sz="4" w:space="0" w:color="000000"/>
            </w:tcBorders>
            <w:shd w:val="clear" w:color="auto" w:fill="D9E2F3" w:themeFill="accent1" w:themeFillTint="33"/>
            <w:tcMar>
              <w:top w:w="43" w:type="dxa"/>
              <w:left w:w="115" w:type="dxa"/>
              <w:bottom w:w="43" w:type="dxa"/>
              <w:right w:w="115" w:type="dxa"/>
            </w:tcMar>
            <w:vAlign w:val="center"/>
          </w:tcPr>
          <w:p w14:paraId="1F86FE56" w14:textId="1C823831" w:rsidR="00516AF4" w:rsidRPr="000A76A7" w:rsidRDefault="00516AF4" w:rsidP="00635DAD">
            <w:pPr>
              <w:spacing w:line="264" w:lineRule="auto"/>
              <w:jc w:val="center"/>
              <w:rPr>
                <w:rFonts w:cs="Arial"/>
                <w:sz w:val="18"/>
                <w:szCs w:val="18"/>
              </w:rPr>
            </w:pPr>
            <w:r>
              <w:rPr>
                <w:rFonts w:cs="Arial"/>
                <w:sz w:val="18"/>
                <w:szCs w:val="18"/>
              </w:rPr>
              <w:t>n/a</w:t>
            </w:r>
          </w:p>
        </w:tc>
        <w:tc>
          <w:tcPr>
            <w:tcW w:w="515" w:type="pct"/>
            <w:tcBorders>
              <w:bottom w:val="single" w:sz="4" w:space="0" w:color="000000"/>
            </w:tcBorders>
            <w:shd w:val="clear" w:color="auto" w:fill="D9E2F3" w:themeFill="accent1" w:themeFillTint="33"/>
            <w:tcMar>
              <w:top w:w="43" w:type="dxa"/>
              <w:left w:w="115" w:type="dxa"/>
              <w:bottom w:w="43" w:type="dxa"/>
              <w:right w:w="115" w:type="dxa"/>
            </w:tcMar>
            <w:vAlign w:val="center"/>
          </w:tcPr>
          <w:p w14:paraId="18D7DD52" w14:textId="0DF45043" w:rsidR="00516AF4" w:rsidRPr="000A76A7" w:rsidRDefault="00516AF4" w:rsidP="00635DAD">
            <w:pPr>
              <w:spacing w:line="264" w:lineRule="auto"/>
              <w:jc w:val="center"/>
              <w:rPr>
                <w:rFonts w:cs="Arial"/>
                <w:sz w:val="18"/>
                <w:szCs w:val="18"/>
              </w:rPr>
            </w:pPr>
            <w:r>
              <w:rPr>
                <w:rFonts w:cs="Arial"/>
                <w:sz w:val="18"/>
                <w:szCs w:val="18"/>
              </w:rPr>
              <w:t>n/a</w:t>
            </w:r>
          </w:p>
        </w:tc>
        <w:tc>
          <w:tcPr>
            <w:tcW w:w="613" w:type="pct"/>
            <w:tcBorders>
              <w:bottom w:val="single" w:sz="4" w:space="0" w:color="000000"/>
            </w:tcBorders>
            <w:shd w:val="clear" w:color="auto" w:fill="D9E2F3" w:themeFill="accent1" w:themeFillTint="33"/>
            <w:tcMar>
              <w:top w:w="43" w:type="dxa"/>
              <w:left w:w="115" w:type="dxa"/>
              <w:bottom w:w="43" w:type="dxa"/>
              <w:right w:w="115" w:type="dxa"/>
            </w:tcMar>
            <w:vAlign w:val="center"/>
          </w:tcPr>
          <w:p w14:paraId="2C524F7C" w14:textId="1074948D" w:rsidR="00516AF4" w:rsidRPr="000A76A7" w:rsidRDefault="00516AF4" w:rsidP="00635DAD">
            <w:pPr>
              <w:pStyle w:val="CU-05RFcentered"/>
              <w:spacing w:line="264" w:lineRule="auto"/>
            </w:pPr>
            <w:r w:rsidRPr="000A76A7">
              <w:t>Monthly</w:t>
            </w:r>
          </w:p>
        </w:tc>
        <w:tc>
          <w:tcPr>
            <w:tcW w:w="445" w:type="pct"/>
            <w:tcBorders>
              <w:bottom w:val="single" w:sz="4" w:space="0" w:color="000000"/>
            </w:tcBorders>
            <w:shd w:val="clear" w:color="auto" w:fill="D9E2F3" w:themeFill="accent1" w:themeFillTint="33"/>
            <w:tcMar>
              <w:top w:w="43" w:type="dxa"/>
              <w:left w:w="115" w:type="dxa"/>
              <w:bottom w:w="43" w:type="dxa"/>
              <w:right w:w="115" w:type="dxa"/>
            </w:tcMar>
            <w:vAlign w:val="center"/>
          </w:tcPr>
          <w:p w14:paraId="6CC00077" w14:textId="1F182027" w:rsidR="00516AF4" w:rsidRPr="000A76A7" w:rsidRDefault="00516AF4" w:rsidP="00635DAD">
            <w:pPr>
              <w:pStyle w:val="CU-05RFcentered"/>
              <w:spacing w:line="264" w:lineRule="auto"/>
            </w:pPr>
            <w:r w:rsidRPr="000A76A7">
              <w:t>Monthly</w:t>
            </w:r>
          </w:p>
        </w:tc>
      </w:tr>
      <w:tr w:rsidR="00CD5D79" w:rsidRPr="000A76A7" w14:paraId="6A84AF80" w14:textId="77777777" w:rsidTr="002150A6">
        <w:tblPrEx>
          <w:tblCellMar>
            <w:top w:w="115" w:type="dxa"/>
            <w:bottom w:w="86" w:type="dxa"/>
          </w:tblCellMar>
        </w:tblPrEx>
        <w:trPr>
          <w:trHeight w:val="1165"/>
        </w:trPr>
        <w:tc>
          <w:tcPr>
            <w:tcW w:w="1625" w:type="pct"/>
            <w:tcBorders>
              <w:bottom w:val="single" w:sz="4" w:space="0" w:color="000000"/>
            </w:tcBorders>
            <w:shd w:val="clear" w:color="auto" w:fill="FFFFFF" w:themeFill="background1"/>
            <w:tcMar>
              <w:top w:w="43" w:type="dxa"/>
              <w:left w:w="115" w:type="dxa"/>
              <w:bottom w:w="43" w:type="dxa"/>
              <w:right w:w="115" w:type="dxa"/>
            </w:tcMar>
          </w:tcPr>
          <w:p w14:paraId="4D262C39" w14:textId="097C4D50" w:rsidR="00516AF4" w:rsidRDefault="00516AF4" w:rsidP="00302BD6">
            <w:pPr>
              <w:pStyle w:val="CU-08RFleft-justifiedcopy"/>
              <w:spacing w:before="0" w:line="264" w:lineRule="auto"/>
              <w:rPr>
                <w:b/>
              </w:rPr>
            </w:pPr>
            <w:r>
              <w:rPr>
                <w:b/>
                <w:bCs/>
              </w:rPr>
              <w:t>Kasasa Cash Checking</w:t>
            </w:r>
            <w:r w:rsidRPr="000B20FE">
              <w:rPr>
                <w:b/>
                <w:bCs/>
              </w:rPr>
              <w:br/>
            </w:r>
            <w:r w:rsidRPr="00302BD6">
              <w:rPr>
                <w:i/>
                <w:iCs/>
              </w:rPr>
              <w:t>Qualifying Rate*</w:t>
            </w:r>
            <w:r w:rsidRPr="000B20FE">
              <w:br/>
              <w:t>$0.00 - $</w:t>
            </w:r>
            <w:r>
              <w:t>1</w:t>
            </w:r>
            <w:r w:rsidRPr="000B20FE">
              <w:t>0,000.00</w:t>
            </w:r>
            <w:r w:rsidRPr="000B20FE">
              <w:br/>
              <w:t>$</w:t>
            </w:r>
            <w:r>
              <w:t>1</w:t>
            </w:r>
            <w:r w:rsidRPr="000B20FE">
              <w:t>0,000.01 or more</w:t>
            </w:r>
            <w:r w:rsidRPr="000B20FE">
              <w:br/>
            </w:r>
            <w:r w:rsidRPr="00302BD6">
              <w:rPr>
                <w:i/>
                <w:iCs/>
              </w:rPr>
              <w:t xml:space="preserve">Non-qualifying Rate </w:t>
            </w:r>
            <w:r w:rsidRPr="00AB6533">
              <w:rPr>
                <w:i/>
                <w:iCs/>
                <w:sz w:val="16"/>
                <w:szCs w:val="16"/>
              </w:rPr>
              <w:t>(all balances)</w:t>
            </w:r>
          </w:p>
        </w:tc>
        <w:tc>
          <w:tcPr>
            <w:tcW w:w="541" w:type="pct"/>
            <w:tcBorders>
              <w:bottom w:val="single" w:sz="4" w:space="0" w:color="000000"/>
            </w:tcBorders>
            <w:shd w:val="clear" w:color="auto" w:fill="FFFFFF" w:themeFill="background1"/>
            <w:tcMar>
              <w:top w:w="43" w:type="dxa"/>
              <w:left w:w="115" w:type="dxa"/>
              <w:bottom w:w="43" w:type="dxa"/>
              <w:right w:w="115" w:type="dxa"/>
            </w:tcMar>
          </w:tcPr>
          <w:p w14:paraId="4C7B6CFC" w14:textId="49791B51" w:rsidR="00516AF4" w:rsidRPr="000A76A7" w:rsidRDefault="00516AF4" w:rsidP="00635DAD">
            <w:pPr>
              <w:pStyle w:val="CU-05RFcentered"/>
              <w:spacing w:line="264" w:lineRule="auto"/>
            </w:pPr>
            <w:r>
              <w:br/>
            </w:r>
            <w:r>
              <w:br/>
              <w:t>4.41%</w:t>
            </w:r>
            <w:r>
              <w:br/>
              <w:t>0.25%</w:t>
            </w:r>
            <w:r>
              <w:br/>
              <w:t>0.05%</w:t>
            </w:r>
          </w:p>
        </w:tc>
        <w:tc>
          <w:tcPr>
            <w:tcW w:w="680" w:type="pct"/>
            <w:tcBorders>
              <w:bottom w:val="single" w:sz="4" w:space="0" w:color="000000"/>
            </w:tcBorders>
            <w:shd w:val="clear" w:color="auto" w:fill="FFFFFF" w:themeFill="background1"/>
            <w:tcMar>
              <w:top w:w="43" w:type="dxa"/>
              <w:left w:w="115" w:type="dxa"/>
              <w:bottom w:w="43" w:type="dxa"/>
              <w:right w:w="115" w:type="dxa"/>
            </w:tcMar>
          </w:tcPr>
          <w:p w14:paraId="3610D710" w14:textId="7CB8484D" w:rsidR="00516AF4" w:rsidRPr="000A76A7" w:rsidRDefault="00516AF4" w:rsidP="00635DAD">
            <w:pPr>
              <w:pStyle w:val="CU-05RFcentered"/>
              <w:spacing w:line="264" w:lineRule="auto"/>
            </w:pPr>
            <w:r>
              <w:br/>
            </w:r>
            <w:r>
              <w:br/>
              <w:t>4.50%</w:t>
            </w:r>
            <w:r>
              <w:br/>
              <w:t>4.50%-0.25%</w:t>
            </w:r>
            <w:r>
              <w:br/>
              <w:t>0.05%</w:t>
            </w:r>
          </w:p>
        </w:tc>
        <w:tc>
          <w:tcPr>
            <w:tcW w:w="581" w:type="pct"/>
            <w:tcBorders>
              <w:bottom w:val="single" w:sz="4" w:space="0" w:color="000000"/>
            </w:tcBorders>
            <w:shd w:val="clear" w:color="auto" w:fill="FFFFFF" w:themeFill="background1"/>
            <w:tcMar>
              <w:top w:w="43" w:type="dxa"/>
              <w:left w:w="115" w:type="dxa"/>
              <w:bottom w:w="43" w:type="dxa"/>
              <w:right w:w="115" w:type="dxa"/>
            </w:tcMar>
            <w:vAlign w:val="center"/>
          </w:tcPr>
          <w:p w14:paraId="3F1760A5" w14:textId="4AB271E3" w:rsidR="00516AF4" w:rsidRPr="000A76A7" w:rsidRDefault="00516AF4" w:rsidP="00635DAD">
            <w:pPr>
              <w:spacing w:line="264" w:lineRule="auto"/>
              <w:jc w:val="center"/>
              <w:rPr>
                <w:rFonts w:cs="Arial"/>
                <w:sz w:val="18"/>
                <w:szCs w:val="18"/>
              </w:rPr>
            </w:pPr>
            <w:r>
              <w:rPr>
                <w:rFonts w:cs="Arial"/>
                <w:sz w:val="18"/>
                <w:szCs w:val="18"/>
              </w:rPr>
              <w:t>n/a</w:t>
            </w:r>
          </w:p>
        </w:tc>
        <w:tc>
          <w:tcPr>
            <w:tcW w:w="515" w:type="pct"/>
            <w:tcBorders>
              <w:bottom w:val="single" w:sz="4" w:space="0" w:color="000000"/>
            </w:tcBorders>
            <w:shd w:val="clear" w:color="auto" w:fill="FFFFFF" w:themeFill="background1"/>
            <w:tcMar>
              <w:top w:w="43" w:type="dxa"/>
              <w:left w:w="115" w:type="dxa"/>
              <w:bottom w:w="43" w:type="dxa"/>
              <w:right w:w="115" w:type="dxa"/>
            </w:tcMar>
            <w:vAlign w:val="center"/>
          </w:tcPr>
          <w:p w14:paraId="7EE37FFD" w14:textId="70B7C340" w:rsidR="00516AF4" w:rsidRPr="000A76A7" w:rsidRDefault="00516AF4" w:rsidP="00635DAD">
            <w:pPr>
              <w:spacing w:line="264" w:lineRule="auto"/>
              <w:jc w:val="center"/>
              <w:rPr>
                <w:rFonts w:cs="Arial"/>
                <w:sz w:val="18"/>
                <w:szCs w:val="18"/>
              </w:rPr>
            </w:pPr>
            <w:r>
              <w:rPr>
                <w:rFonts w:cs="Arial"/>
                <w:sz w:val="18"/>
                <w:szCs w:val="18"/>
              </w:rPr>
              <w:t>n/a</w:t>
            </w:r>
          </w:p>
        </w:tc>
        <w:tc>
          <w:tcPr>
            <w:tcW w:w="613" w:type="pct"/>
            <w:tcBorders>
              <w:bottom w:val="single" w:sz="4" w:space="0" w:color="000000"/>
            </w:tcBorders>
            <w:shd w:val="clear" w:color="auto" w:fill="FFFFFF" w:themeFill="background1"/>
            <w:tcMar>
              <w:top w:w="43" w:type="dxa"/>
              <w:left w:w="115" w:type="dxa"/>
              <w:bottom w:w="43" w:type="dxa"/>
              <w:right w:w="115" w:type="dxa"/>
            </w:tcMar>
            <w:vAlign w:val="center"/>
          </w:tcPr>
          <w:p w14:paraId="78B21C3F" w14:textId="6665094C" w:rsidR="00516AF4" w:rsidRPr="000A76A7" w:rsidRDefault="00516AF4" w:rsidP="00635DAD">
            <w:pPr>
              <w:pStyle w:val="CU-05RFcentered"/>
              <w:spacing w:line="264" w:lineRule="auto"/>
            </w:pPr>
            <w:r w:rsidRPr="000A76A7">
              <w:t>Monthly</w:t>
            </w:r>
          </w:p>
        </w:tc>
        <w:tc>
          <w:tcPr>
            <w:tcW w:w="445" w:type="pct"/>
            <w:tcBorders>
              <w:bottom w:val="single" w:sz="4" w:space="0" w:color="000000"/>
            </w:tcBorders>
            <w:shd w:val="clear" w:color="auto" w:fill="FFFFFF" w:themeFill="background1"/>
            <w:tcMar>
              <w:top w:w="43" w:type="dxa"/>
              <w:left w:w="115" w:type="dxa"/>
              <w:bottom w:w="43" w:type="dxa"/>
              <w:right w:w="115" w:type="dxa"/>
            </w:tcMar>
            <w:vAlign w:val="center"/>
          </w:tcPr>
          <w:p w14:paraId="63F28928" w14:textId="7B96396D" w:rsidR="00516AF4" w:rsidRPr="000A76A7" w:rsidRDefault="00516AF4" w:rsidP="00635DAD">
            <w:pPr>
              <w:pStyle w:val="CU-05RFcentered"/>
              <w:spacing w:line="264" w:lineRule="auto"/>
            </w:pPr>
            <w:r w:rsidRPr="000A76A7">
              <w:t>Monthly</w:t>
            </w:r>
          </w:p>
        </w:tc>
      </w:tr>
      <w:tr w:rsidR="002150A6" w:rsidRPr="000A76A7" w14:paraId="63C5E116" w14:textId="77777777" w:rsidTr="002150A6">
        <w:tblPrEx>
          <w:tblCellMar>
            <w:top w:w="115" w:type="dxa"/>
            <w:bottom w:w="86" w:type="dxa"/>
          </w:tblCellMar>
        </w:tblPrEx>
        <w:trPr>
          <w:trHeight w:val="101"/>
        </w:trPr>
        <w:tc>
          <w:tcPr>
            <w:tcW w:w="1625" w:type="pct"/>
            <w:shd w:val="clear" w:color="auto" w:fill="D9E2F3" w:themeFill="accent1" w:themeFillTint="33"/>
            <w:tcMar>
              <w:top w:w="43" w:type="dxa"/>
              <w:left w:w="115" w:type="dxa"/>
              <w:bottom w:w="43" w:type="dxa"/>
              <w:right w:w="115" w:type="dxa"/>
            </w:tcMar>
          </w:tcPr>
          <w:p w14:paraId="01BFC049" w14:textId="0DFF61B5" w:rsidR="002150A6" w:rsidRPr="00EE1714" w:rsidRDefault="002150A6" w:rsidP="00EE1714">
            <w:pPr>
              <w:pStyle w:val="CU-08RFleft-justifiedcopy"/>
              <w:spacing w:before="0" w:line="264" w:lineRule="auto"/>
              <w:rPr>
                <w:b/>
                <w:bCs/>
              </w:rPr>
            </w:pPr>
            <w:r>
              <w:rPr>
                <w:b/>
                <w:bCs/>
              </w:rPr>
              <w:t>Kasasa Cash Back &amp; Kasasa Tunes</w:t>
            </w:r>
          </w:p>
        </w:tc>
        <w:tc>
          <w:tcPr>
            <w:tcW w:w="541" w:type="pct"/>
            <w:shd w:val="clear" w:color="auto" w:fill="D9E2F3" w:themeFill="accent1" w:themeFillTint="33"/>
            <w:tcMar>
              <w:top w:w="43" w:type="dxa"/>
              <w:left w:w="115" w:type="dxa"/>
              <w:bottom w:w="43" w:type="dxa"/>
              <w:right w:w="115" w:type="dxa"/>
            </w:tcMar>
            <w:vAlign w:val="center"/>
          </w:tcPr>
          <w:p w14:paraId="344072D5" w14:textId="48CE9B4E" w:rsidR="002150A6" w:rsidRPr="000A76A7" w:rsidRDefault="002150A6" w:rsidP="00635DAD">
            <w:pPr>
              <w:pStyle w:val="CU-05RFcentered"/>
              <w:spacing w:line="264" w:lineRule="auto"/>
            </w:pPr>
            <w:r>
              <w:rPr>
                <w:rFonts w:cs="Arial"/>
                <w:szCs w:val="18"/>
              </w:rPr>
              <w:t>n/a</w:t>
            </w:r>
          </w:p>
        </w:tc>
        <w:tc>
          <w:tcPr>
            <w:tcW w:w="680" w:type="pct"/>
            <w:shd w:val="clear" w:color="auto" w:fill="D9E2F3" w:themeFill="accent1" w:themeFillTint="33"/>
            <w:tcMar>
              <w:top w:w="43" w:type="dxa"/>
              <w:left w:w="115" w:type="dxa"/>
              <w:bottom w:w="43" w:type="dxa"/>
              <w:right w:w="115" w:type="dxa"/>
            </w:tcMar>
            <w:vAlign w:val="center"/>
          </w:tcPr>
          <w:p w14:paraId="278225B5" w14:textId="3928D20F" w:rsidR="002150A6" w:rsidRPr="000A76A7" w:rsidRDefault="002150A6" w:rsidP="00635DAD">
            <w:pPr>
              <w:pStyle w:val="CU-05RFcentered"/>
              <w:spacing w:line="264" w:lineRule="auto"/>
            </w:pPr>
            <w:r>
              <w:rPr>
                <w:rFonts w:cs="Arial"/>
                <w:szCs w:val="18"/>
              </w:rPr>
              <w:t>n/a</w:t>
            </w:r>
          </w:p>
        </w:tc>
        <w:tc>
          <w:tcPr>
            <w:tcW w:w="581" w:type="pct"/>
            <w:shd w:val="clear" w:color="auto" w:fill="D9E2F3" w:themeFill="accent1" w:themeFillTint="33"/>
            <w:tcMar>
              <w:top w:w="43" w:type="dxa"/>
              <w:left w:w="115" w:type="dxa"/>
              <w:bottom w:w="43" w:type="dxa"/>
              <w:right w:w="115" w:type="dxa"/>
            </w:tcMar>
            <w:vAlign w:val="center"/>
          </w:tcPr>
          <w:p w14:paraId="46ED5071" w14:textId="6E0F514E" w:rsidR="002150A6" w:rsidRPr="000A76A7" w:rsidRDefault="002150A6" w:rsidP="00635DAD">
            <w:pPr>
              <w:spacing w:line="264" w:lineRule="auto"/>
              <w:jc w:val="center"/>
              <w:rPr>
                <w:rFonts w:cs="Arial"/>
                <w:sz w:val="18"/>
                <w:szCs w:val="18"/>
              </w:rPr>
            </w:pPr>
            <w:r>
              <w:rPr>
                <w:rFonts w:cs="Arial"/>
                <w:sz w:val="18"/>
                <w:szCs w:val="18"/>
              </w:rPr>
              <w:t>n/a</w:t>
            </w:r>
          </w:p>
        </w:tc>
        <w:tc>
          <w:tcPr>
            <w:tcW w:w="515" w:type="pct"/>
            <w:shd w:val="clear" w:color="auto" w:fill="D9E2F3" w:themeFill="accent1" w:themeFillTint="33"/>
            <w:tcMar>
              <w:top w:w="43" w:type="dxa"/>
              <w:left w:w="115" w:type="dxa"/>
              <w:bottom w:w="43" w:type="dxa"/>
              <w:right w:w="115" w:type="dxa"/>
            </w:tcMar>
            <w:vAlign w:val="center"/>
          </w:tcPr>
          <w:p w14:paraId="1933E807" w14:textId="5CAEFE97" w:rsidR="002150A6" w:rsidRDefault="002150A6" w:rsidP="00635DAD">
            <w:pPr>
              <w:spacing w:line="264" w:lineRule="auto"/>
              <w:jc w:val="center"/>
              <w:rPr>
                <w:rFonts w:cs="Arial"/>
                <w:sz w:val="18"/>
                <w:szCs w:val="18"/>
              </w:rPr>
            </w:pPr>
            <w:r>
              <w:rPr>
                <w:rFonts w:cs="Arial"/>
                <w:sz w:val="18"/>
                <w:szCs w:val="18"/>
              </w:rPr>
              <w:t>n/a</w:t>
            </w:r>
          </w:p>
        </w:tc>
        <w:tc>
          <w:tcPr>
            <w:tcW w:w="613" w:type="pct"/>
            <w:shd w:val="clear" w:color="auto" w:fill="D9E2F3" w:themeFill="accent1" w:themeFillTint="33"/>
            <w:tcMar>
              <w:top w:w="43" w:type="dxa"/>
              <w:left w:w="115" w:type="dxa"/>
              <w:bottom w:w="43" w:type="dxa"/>
              <w:right w:w="115" w:type="dxa"/>
            </w:tcMar>
            <w:vAlign w:val="center"/>
          </w:tcPr>
          <w:p w14:paraId="77591A60" w14:textId="4069DE5E" w:rsidR="002150A6" w:rsidRPr="000A76A7" w:rsidRDefault="002150A6" w:rsidP="00635DAD">
            <w:pPr>
              <w:spacing w:line="264" w:lineRule="auto"/>
              <w:jc w:val="center"/>
              <w:rPr>
                <w:rFonts w:cs="Arial"/>
                <w:sz w:val="18"/>
                <w:szCs w:val="18"/>
              </w:rPr>
            </w:pPr>
            <w:r>
              <w:rPr>
                <w:rFonts w:cs="Arial"/>
                <w:sz w:val="18"/>
                <w:szCs w:val="18"/>
              </w:rPr>
              <w:t>n/a</w:t>
            </w:r>
          </w:p>
        </w:tc>
        <w:tc>
          <w:tcPr>
            <w:tcW w:w="445" w:type="pct"/>
            <w:shd w:val="clear" w:color="auto" w:fill="D9E2F3" w:themeFill="accent1" w:themeFillTint="33"/>
            <w:tcMar>
              <w:top w:w="43" w:type="dxa"/>
              <w:left w:w="115" w:type="dxa"/>
              <w:bottom w:w="43" w:type="dxa"/>
              <w:right w:w="115" w:type="dxa"/>
            </w:tcMar>
            <w:vAlign w:val="center"/>
          </w:tcPr>
          <w:p w14:paraId="3055B9CE" w14:textId="38848B20" w:rsidR="002150A6" w:rsidRPr="000A76A7" w:rsidRDefault="002150A6" w:rsidP="00635DAD">
            <w:pPr>
              <w:spacing w:line="264" w:lineRule="auto"/>
              <w:jc w:val="center"/>
              <w:rPr>
                <w:rFonts w:cs="Arial"/>
                <w:sz w:val="18"/>
                <w:szCs w:val="18"/>
              </w:rPr>
            </w:pPr>
            <w:r>
              <w:rPr>
                <w:rFonts w:cs="Arial"/>
                <w:sz w:val="18"/>
                <w:szCs w:val="18"/>
              </w:rPr>
              <w:t>n/a</w:t>
            </w:r>
          </w:p>
        </w:tc>
      </w:tr>
      <w:tr w:rsidR="00CD5D79" w:rsidRPr="000A76A7" w14:paraId="33623F5A" w14:textId="77777777" w:rsidTr="002150A6">
        <w:tblPrEx>
          <w:tblCellMar>
            <w:top w:w="115" w:type="dxa"/>
            <w:bottom w:w="86" w:type="dxa"/>
          </w:tblCellMar>
        </w:tblPrEx>
        <w:trPr>
          <w:trHeight w:val="101"/>
        </w:trPr>
        <w:tc>
          <w:tcPr>
            <w:tcW w:w="1625" w:type="pct"/>
            <w:shd w:val="clear" w:color="auto" w:fill="D9E2F3" w:themeFill="accent1" w:themeFillTint="33"/>
            <w:tcMar>
              <w:top w:w="43" w:type="dxa"/>
              <w:left w:w="115" w:type="dxa"/>
              <w:bottom w:w="43" w:type="dxa"/>
              <w:right w:w="115" w:type="dxa"/>
            </w:tcMar>
          </w:tcPr>
          <w:p w14:paraId="753F5C11" w14:textId="10723240" w:rsidR="00516AF4" w:rsidRPr="00EE1714" w:rsidRDefault="00516AF4" w:rsidP="00EE1714">
            <w:pPr>
              <w:pStyle w:val="CU-08RFleft-justifiedcopy"/>
              <w:spacing w:before="0" w:line="264" w:lineRule="auto"/>
              <w:rPr>
                <w:b/>
                <w:bCs/>
              </w:rPr>
            </w:pPr>
            <w:r w:rsidRPr="00EE1714">
              <w:rPr>
                <w:b/>
                <w:bCs/>
              </w:rPr>
              <w:t xml:space="preserve">Basic, Student &amp; Green Checking </w:t>
            </w:r>
          </w:p>
        </w:tc>
        <w:tc>
          <w:tcPr>
            <w:tcW w:w="541" w:type="pct"/>
            <w:shd w:val="clear" w:color="auto" w:fill="D9E2F3" w:themeFill="accent1" w:themeFillTint="33"/>
            <w:tcMar>
              <w:top w:w="43" w:type="dxa"/>
              <w:left w:w="115" w:type="dxa"/>
              <w:bottom w:w="43" w:type="dxa"/>
              <w:right w:w="115" w:type="dxa"/>
            </w:tcMar>
            <w:vAlign w:val="center"/>
          </w:tcPr>
          <w:p w14:paraId="1ABBE49A" w14:textId="6BC8F91C" w:rsidR="00516AF4" w:rsidRPr="000A76A7" w:rsidRDefault="00516AF4" w:rsidP="00635DAD">
            <w:pPr>
              <w:pStyle w:val="CU-05RFcentered"/>
              <w:spacing w:line="264" w:lineRule="auto"/>
            </w:pPr>
            <w:r w:rsidRPr="000A76A7">
              <w:t>0.00%</w:t>
            </w:r>
          </w:p>
        </w:tc>
        <w:tc>
          <w:tcPr>
            <w:tcW w:w="680" w:type="pct"/>
            <w:shd w:val="clear" w:color="auto" w:fill="D9E2F3" w:themeFill="accent1" w:themeFillTint="33"/>
            <w:tcMar>
              <w:top w:w="43" w:type="dxa"/>
              <w:left w:w="115" w:type="dxa"/>
              <w:bottom w:w="43" w:type="dxa"/>
              <w:right w:w="115" w:type="dxa"/>
            </w:tcMar>
            <w:vAlign w:val="center"/>
          </w:tcPr>
          <w:p w14:paraId="353D9521" w14:textId="77777777" w:rsidR="00516AF4" w:rsidRPr="000A76A7" w:rsidRDefault="00516AF4" w:rsidP="00635DAD">
            <w:pPr>
              <w:pStyle w:val="CU-05RFcentered"/>
              <w:spacing w:line="264" w:lineRule="auto"/>
            </w:pPr>
            <w:r w:rsidRPr="000A76A7">
              <w:t>0.00%</w:t>
            </w:r>
          </w:p>
        </w:tc>
        <w:tc>
          <w:tcPr>
            <w:tcW w:w="581" w:type="pct"/>
            <w:shd w:val="clear" w:color="auto" w:fill="D9E2F3" w:themeFill="accent1" w:themeFillTint="33"/>
            <w:tcMar>
              <w:top w:w="43" w:type="dxa"/>
              <w:left w:w="115" w:type="dxa"/>
              <w:bottom w:w="43" w:type="dxa"/>
              <w:right w:w="115" w:type="dxa"/>
            </w:tcMar>
            <w:vAlign w:val="center"/>
          </w:tcPr>
          <w:p w14:paraId="168EDAC6" w14:textId="41D785B4" w:rsidR="00516AF4" w:rsidRPr="000A76A7" w:rsidRDefault="009A01B6" w:rsidP="00635DAD">
            <w:pPr>
              <w:spacing w:line="264" w:lineRule="auto"/>
              <w:jc w:val="center"/>
              <w:rPr>
                <w:rFonts w:cs="Arial"/>
                <w:sz w:val="18"/>
                <w:szCs w:val="18"/>
              </w:rPr>
            </w:pPr>
            <w:r>
              <w:rPr>
                <w:rFonts w:cs="Arial"/>
                <w:sz w:val="18"/>
                <w:szCs w:val="18"/>
              </w:rPr>
              <w:t>n/a</w:t>
            </w:r>
          </w:p>
        </w:tc>
        <w:tc>
          <w:tcPr>
            <w:tcW w:w="515" w:type="pct"/>
            <w:shd w:val="clear" w:color="auto" w:fill="D9E2F3" w:themeFill="accent1" w:themeFillTint="33"/>
            <w:tcMar>
              <w:top w:w="43" w:type="dxa"/>
              <w:left w:w="115" w:type="dxa"/>
              <w:bottom w:w="43" w:type="dxa"/>
              <w:right w:w="115" w:type="dxa"/>
            </w:tcMar>
            <w:vAlign w:val="center"/>
          </w:tcPr>
          <w:p w14:paraId="016B91DC" w14:textId="6160421F" w:rsidR="00516AF4" w:rsidRPr="000A76A7" w:rsidRDefault="009A01B6" w:rsidP="00635DAD">
            <w:pPr>
              <w:spacing w:line="264" w:lineRule="auto"/>
              <w:jc w:val="center"/>
              <w:rPr>
                <w:rFonts w:cs="Arial"/>
                <w:sz w:val="18"/>
                <w:szCs w:val="18"/>
              </w:rPr>
            </w:pPr>
            <w:r>
              <w:rPr>
                <w:rFonts w:cs="Arial"/>
                <w:sz w:val="18"/>
                <w:szCs w:val="18"/>
              </w:rPr>
              <w:t>n/a</w:t>
            </w:r>
          </w:p>
        </w:tc>
        <w:tc>
          <w:tcPr>
            <w:tcW w:w="613" w:type="pct"/>
            <w:shd w:val="clear" w:color="auto" w:fill="D9E2F3" w:themeFill="accent1" w:themeFillTint="33"/>
            <w:tcMar>
              <w:top w:w="43" w:type="dxa"/>
              <w:left w:w="115" w:type="dxa"/>
              <w:bottom w:w="43" w:type="dxa"/>
              <w:right w:w="115" w:type="dxa"/>
            </w:tcMar>
            <w:vAlign w:val="center"/>
          </w:tcPr>
          <w:p w14:paraId="16C753AE" w14:textId="44FB0D83" w:rsidR="00516AF4" w:rsidRPr="000A76A7" w:rsidRDefault="00516AF4" w:rsidP="00635DAD">
            <w:pPr>
              <w:spacing w:line="264" w:lineRule="auto"/>
              <w:jc w:val="center"/>
              <w:rPr>
                <w:rFonts w:cs="Arial"/>
                <w:sz w:val="18"/>
                <w:szCs w:val="18"/>
              </w:rPr>
            </w:pPr>
            <w:r w:rsidRPr="000A76A7">
              <w:rPr>
                <w:rFonts w:cs="Arial"/>
                <w:sz w:val="18"/>
                <w:szCs w:val="18"/>
              </w:rPr>
              <w:t>n/a</w:t>
            </w:r>
          </w:p>
        </w:tc>
        <w:tc>
          <w:tcPr>
            <w:tcW w:w="445" w:type="pct"/>
            <w:shd w:val="clear" w:color="auto" w:fill="D9E2F3" w:themeFill="accent1" w:themeFillTint="33"/>
            <w:tcMar>
              <w:top w:w="43" w:type="dxa"/>
              <w:left w:w="115" w:type="dxa"/>
              <w:bottom w:w="43" w:type="dxa"/>
              <w:right w:w="115" w:type="dxa"/>
            </w:tcMar>
            <w:vAlign w:val="center"/>
          </w:tcPr>
          <w:p w14:paraId="77E1FADF" w14:textId="77777777" w:rsidR="00516AF4" w:rsidRPr="000A76A7" w:rsidRDefault="00516AF4" w:rsidP="00635DAD">
            <w:pPr>
              <w:spacing w:line="264" w:lineRule="auto"/>
              <w:jc w:val="center"/>
              <w:rPr>
                <w:rFonts w:cs="Arial"/>
                <w:sz w:val="18"/>
                <w:szCs w:val="18"/>
              </w:rPr>
            </w:pPr>
            <w:r w:rsidRPr="000A76A7">
              <w:rPr>
                <w:rFonts w:cs="Arial"/>
                <w:sz w:val="18"/>
                <w:szCs w:val="18"/>
              </w:rPr>
              <w:t>n/a</w:t>
            </w:r>
          </w:p>
        </w:tc>
      </w:tr>
      <w:tr w:rsidR="00CD5D79" w:rsidRPr="000A76A7" w14:paraId="397524CB" w14:textId="77777777" w:rsidTr="002150A6">
        <w:tblPrEx>
          <w:tblCellMar>
            <w:top w:w="115" w:type="dxa"/>
            <w:bottom w:w="86" w:type="dxa"/>
          </w:tblCellMar>
        </w:tblPrEx>
        <w:trPr>
          <w:trHeight w:val="216"/>
        </w:trPr>
        <w:tc>
          <w:tcPr>
            <w:tcW w:w="1625" w:type="pct"/>
            <w:shd w:val="clear" w:color="auto" w:fill="FFFFFF" w:themeFill="background1"/>
            <w:tcMar>
              <w:top w:w="43" w:type="dxa"/>
              <w:left w:w="115" w:type="dxa"/>
              <w:bottom w:w="43" w:type="dxa"/>
              <w:right w:w="115" w:type="dxa"/>
            </w:tcMar>
          </w:tcPr>
          <w:p w14:paraId="0ADE573A" w14:textId="00AEA3A0" w:rsidR="00516AF4" w:rsidRPr="000B20FE" w:rsidRDefault="00516AF4" w:rsidP="000B20FE">
            <w:pPr>
              <w:pStyle w:val="CU-08RFleft-justifiedcopy"/>
              <w:spacing w:before="0" w:line="264" w:lineRule="auto"/>
              <w:rPr>
                <w:b/>
                <w:bCs/>
              </w:rPr>
            </w:pPr>
            <w:r w:rsidRPr="000B20FE">
              <w:rPr>
                <w:b/>
                <w:bCs/>
              </w:rPr>
              <w:t xml:space="preserve">Premier Dividend Checking </w:t>
            </w:r>
            <w:r w:rsidRPr="000B20FE">
              <w:rPr>
                <w:b/>
                <w:bCs/>
              </w:rPr>
              <w:br/>
            </w:r>
            <w:r w:rsidRPr="00302BD6">
              <w:rPr>
                <w:i/>
                <w:iCs/>
              </w:rPr>
              <w:t>Qualifying Rate*</w:t>
            </w:r>
            <w:r w:rsidRPr="000B20FE">
              <w:br/>
              <w:t>$0.00 - $10,000.00</w:t>
            </w:r>
            <w:r w:rsidRPr="000B20FE">
              <w:br/>
              <w:t>$10,000.01 or more</w:t>
            </w:r>
            <w:r w:rsidRPr="000B20FE">
              <w:br/>
            </w:r>
            <w:r w:rsidRPr="00302BD6">
              <w:rPr>
                <w:i/>
                <w:iCs/>
              </w:rPr>
              <w:t xml:space="preserve">Non-qualifying Rate </w:t>
            </w:r>
            <w:r w:rsidRPr="00AB6533">
              <w:rPr>
                <w:i/>
                <w:iCs/>
                <w:sz w:val="16"/>
                <w:szCs w:val="16"/>
              </w:rPr>
              <w:t>(all balances)</w:t>
            </w:r>
          </w:p>
        </w:tc>
        <w:tc>
          <w:tcPr>
            <w:tcW w:w="541" w:type="pct"/>
            <w:shd w:val="clear" w:color="auto" w:fill="FFFFFF" w:themeFill="background1"/>
            <w:tcMar>
              <w:top w:w="43" w:type="dxa"/>
              <w:left w:w="115" w:type="dxa"/>
              <w:bottom w:w="43" w:type="dxa"/>
              <w:right w:w="115" w:type="dxa"/>
            </w:tcMar>
          </w:tcPr>
          <w:p w14:paraId="3770B3D4" w14:textId="60795ACD" w:rsidR="00516AF4" w:rsidRPr="000A76A7" w:rsidRDefault="00516AF4" w:rsidP="00635DAD">
            <w:pPr>
              <w:spacing w:line="264" w:lineRule="auto"/>
              <w:jc w:val="center"/>
              <w:rPr>
                <w:rFonts w:cs="Arial"/>
                <w:sz w:val="18"/>
                <w:szCs w:val="18"/>
              </w:rPr>
            </w:pPr>
            <w:r>
              <w:rPr>
                <w:rFonts w:cs="Arial"/>
                <w:sz w:val="18"/>
                <w:szCs w:val="18"/>
              </w:rPr>
              <w:br/>
            </w:r>
            <w:r>
              <w:rPr>
                <w:rFonts w:cs="Arial"/>
                <w:sz w:val="18"/>
                <w:szCs w:val="18"/>
              </w:rPr>
              <w:br/>
            </w:r>
            <w:r w:rsidRPr="000A76A7">
              <w:rPr>
                <w:rFonts w:cs="Arial"/>
                <w:sz w:val="18"/>
                <w:szCs w:val="18"/>
              </w:rPr>
              <w:t>0.</w:t>
            </w:r>
            <w:r>
              <w:rPr>
                <w:rFonts w:cs="Arial"/>
                <w:sz w:val="18"/>
                <w:szCs w:val="18"/>
              </w:rPr>
              <w:t>30</w:t>
            </w:r>
            <w:r w:rsidRPr="000A76A7">
              <w:rPr>
                <w:rFonts w:cs="Arial"/>
                <w:sz w:val="18"/>
                <w:szCs w:val="18"/>
              </w:rPr>
              <w:t>%</w:t>
            </w:r>
            <w:r w:rsidRPr="000A76A7">
              <w:rPr>
                <w:rFonts w:cs="Arial"/>
                <w:sz w:val="18"/>
                <w:szCs w:val="18"/>
              </w:rPr>
              <w:br/>
              <w:t>0.</w:t>
            </w:r>
            <w:r>
              <w:rPr>
                <w:rFonts w:cs="Arial"/>
                <w:sz w:val="18"/>
                <w:szCs w:val="18"/>
              </w:rPr>
              <w:t>1</w:t>
            </w:r>
            <w:r w:rsidRPr="000A76A7">
              <w:rPr>
                <w:rFonts w:cs="Arial"/>
                <w:sz w:val="18"/>
                <w:szCs w:val="18"/>
              </w:rPr>
              <w:t>5%</w:t>
            </w:r>
            <w:r w:rsidRPr="000A76A7">
              <w:rPr>
                <w:rFonts w:cs="Arial"/>
                <w:sz w:val="18"/>
                <w:szCs w:val="18"/>
              </w:rPr>
              <w:br/>
              <w:t>0.00%</w:t>
            </w:r>
          </w:p>
        </w:tc>
        <w:tc>
          <w:tcPr>
            <w:tcW w:w="680" w:type="pct"/>
            <w:shd w:val="clear" w:color="auto" w:fill="FFFFFF" w:themeFill="background1"/>
            <w:tcMar>
              <w:top w:w="43" w:type="dxa"/>
              <w:left w:w="115" w:type="dxa"/>
              <w:bottom w:w="43" w:type="dxa"/>
              <w:right w:w="115" w:type="dxa"/>
            </w:tcMar>
          </w:tcPr>
          <w:p w14:paraId="3F952190" w14:textId="167B3B4D" w:rsidR="00516AF4" w:rsidRPr="000A76A7" w:rsidRDefault="00516AF4" w:rsidP="00635DAD">
            <w:pPr>
              <w:spacing w:line="264" w:lineRule="auto"/>
              <w:jc w:val="center"/>
              <w:rPr>
                <w:rFonts w:cs="Arial"/>
                <w:sz w:val="18"/>
                <w:szCs w:val="18"/>
              </w:rPr>
            </w:pPr>
            <w:r>
              <w:rPr>
                <w:rFonts w:cs="Arial"/>
                <w:sz w:val="18"/>
                <w:szCs w:val="18"/>
              </w:rPr>
              <w:br/>
            </w:r>
            <w:r>
              <w:rPr>
                <w:rFonts w:cs="Arial"/>
                <w:sz w:val="18"/>
                <w:szCs w:val="18"/>
              </w:rPr>
              <w:br/>
            </w:r>
            <w:r w:rsidRPr="000A76A7">
              <w:rPr>
                <w:rFonts w:cs="Arial"/>
                <w:sz w:val="18"/>
                <w:szCs w:val="18"/>
              </w:rPr>
              <w:t>0.</w:t>
            </w:r>
            <w:r>
              <w:rPr>
                <w:rFonts w:cs="Arial"/>
                <w:sz w:val="18"/>
                <w:szCs w:val="18"/>
              </w:rPr>
              <w:t>30</w:t>
            </w:r>
            <w:r w:rsidRPr="000A76A7">
              <w:rPr>
                <w:rFonts w:cs="Arial"/>
                <w:sz w:val="18"/>
                <w:szCs w:val="18"/>
              </w:rPr>
              <w:t>%</w:t>
            </w:r>
            <w:r w:rsidRPr="000A76A7">
              <w:rPr>
                <w:rFonts w:cs="Arial"/>
                <w:sz w:val="18"/>
                <w:szCs w:val="18"/>
              </w:rPr>
              <w:br/>
              <w:t>0.</w:t>
            </w:r>
            <w:r>
              <w:rPr>
                <w:rFonts w:cs="Arial"/>
                <w:sz w:val="18"/>
                <w:szCs w:val="18"/>
              </w:rPr>
              <w:t>1</w:t>
            </w:r>
            <w:r w:rsidRPr="000A76A7">
              <w:rPr>
                <w:rFonts w:cs="Arial"/>
                <w:sz w:val="18"/>
                <w:szCs w:val="18"/>
              </w:rPr>
              <w:t>5</w:t>
            </w:r>
            <w:r>
              <w:rPr>
                <w:rFonts w:cs="Arial"/>
                <w:sz w:val="18"/>
                <w:szCs w:val="18"/>
              </w:rPr>
              <w:t>-0.30</w:t>
            </w:r>
            <w:r w:rsidRPr="000A76A7">
              <w:rPr>
                <w:rFonts w:cs="Arial"/>
                <w:sz w:val="18"/>
                <w:szCs w:val="18"/>
              </w:rPr>
              <w:t>%</w:t>
            </w:r>
            <w:r w:rsidRPr="000A76A7">
              <w:rPr>
                <w:rFonts w:cs="Arial"/>
                <w:sz w:val="18"/>
                <w:szCs w:val="18"/>
              </w:rPr>
              <w:br/>
              <w:t>0.00%</w:t>
            </w:r>
          </w:p>
        </w:tc>
        <w:tc>
          <w:tcPr>
            <w:tcW w:w="581" w:type="pct"/>
            <w:shd w:val="clear" w:color="auto" w:fill="FFFFFF" w:themeFill="background1"/>
            <w:tcMar>
              <w:top w:w="43" w:type="dxa"/>
              <w:left w:w="115" w:type="dxa"/>
              <w:bottom w:w="43" w:type="dxa"/>
              <w:right w:w="115" w:type="dxa"/>
            </w:tcMar>
            <w:vAlign w:val="center"/>
          </w:tcPr>
          <w:p w14:paraId="57356348" w14:textId="6DC87B92" w:rsidR="00516AF4" w:rsidRPr="000A76A7" w:rsidRDefault="009A01B6" w:rsidP="00635DAD">
            <w:pPr>
              <w:spacing w:line="264" w:lineRule="auto"/>
              <w:jc w:val="center"/>
              <w:rPr>
                <w:rFonts w:cs="Arial"/>
                <w:sz w:val="18"/>
                <w:szCs w:val="18"/>
              </w:rPr>
            </w:pPr>
            <w:r>
              <w:rPr>
                <w:rFonts w:cs="Arial"/>
                <w:sz w:val="18"/>
                <w:szCs w:val="18"/>
              </w:rPr>
              <w:t>n/a</w:t>
            </w:r>
          </w:p>
        </w:tc>
        <w:tc>
          <w:tcPr>
            <w:tcW w:w="515" w:type="pct"/>
            <w:shd w:val="clear" w:color="auto" w:fill="FFFFFF" w:themeFill="background1"/>
            <w:tcMar>
              <w:top w:w="43" w:type="dxa"/>
              <w:left w:w="115" w:type="dxa"/>
              <w:bottom w:w="43" w:type="dxa"/>
              <w:right w:w="115" w:type="dxa"/>
            </w:tcMar>
            <w:vAlign w:val="center"/>
          </w:tcPr>
          <w:p w14:paraId="362EB66C" w14:textId="286F6325" w:rsidR="00516AF4" w:rsidRPr="000A76A7" w:rsidRDefault="009A01B6" w:rsidP="00635DAD">
            <w:pPr>
              <w:spacing w:line="264" w:lineRule="auto"/>
              <w:jc w:val="center"/>
              <w:rPr>
                <w:rFonts w:cs="Arial"/>
                <w:sz w:val="18"/>
                <w:szCs w:val="18"/>
              </w:rPr>
            </w:pPr>
            <w:r>
              <w:rPr>
                <w:rFonts w:cs="Arial"/>
                <w:sz w:val="18"/>
                <w:szCs w:val="18"/>
              </w:rPr>
              <w:t>n/a</w:t>
            </w:r>
          </w:p>
        </w:tc>
        <w:tc>
          <w:tcPr>
            <w:tcW w:w="613" w:type="pct"/>
            <w:shd w:val="clear" w:color="auto" w:fill="FFFFFF" w:themeFill="background1"/>
            <w:tcMar>
              <w:top w:w="43" w:type="dxa"/>
              <w:left w:w="115" w:type="dxa"/>
              <w:bottom w:w="43" w:type="dxa"/>
              <w:right w:w="115" w:type="dxa"/>
            </w:tcMar>
            <w:vAlign w:val="center"/>
          </w:tcPr>
          <w:p w14:paraId="39190AFA" w14:textId="7C18FAAF" w:rsidR="00516AF4" w:rsidRPr="000A76A7" w:rsidRDefault="00516AF4" w:rsidP="00635DAD">
            <w:pPr>
              <w:spacing w:line="264" w:lineRule="auto"/>
              <w:jc w:val="center"/>
              <w:rPr>
                <w:rFonts w:cs="Arial"/>
                <w:sz w:val="18"/>
                <w:szCs w:val="18"/>
              </w:rPr>
            </w:pPr>
            <w:r w:rsidRPr="000A76A7">
              <w:rPr>
                <w:rFonts w:cs="Arial"/>
                <w:sz w:val="18"/>
                <w:szCs w:val="18"/>
              </w:rPr>
              <w:t>Monthly</w:t>
            </w:r>
          </w:p>
        </w:tc>
        <w:tc>
          <w:tcPr>
            <w:tcW w:w="445" w:type="pct"/>
            <w:shd w:val="clear" w:color="auto" w:fill="FFFFFF" w:themeFill="background1"/>
            <w:tcMar>
              <w:top w:w="43" w:type="dxa"/>
              <w:left w:w="115" w:type="dxa"/>
              <w:bottom w:w="43" w:type="dxa"/>
              <w:right w:w="115" w:type="dxa"/>
            </w:tcMar>
            <w:vAlign w:val="center"/>
          </w:tcPr>
          <w:p w14:paraId="10C6E613" w14:textId="77777777" w:rsidR="00516AF4" w:rsidRPr="000A76A7" w:rsidRDefault="00516AF4" w:rsidP="00635DAD">
            <w:pPr>
              <w:spacing w:line="264" w:lineRule="auto"/>
              <w:jc w:val="center"/>
              <w:rPr>
                <w:rFonts w:cs="Arial"/>
                <w:sz w:val="18"/>
                <w:szCs w:val="18"/>
              </w:rPr>
            </w:pPr>
            <w:r w:rsidRPr="000A76A7">
              <w:rPr>
                <w:rFonts w:cs="Arial"/>
                <w:sz w:val="18"/>
                <w:szCs w:val="18"/>
              </w:rPr>
              <w:t>Monthly</w:t>
            </w:r>
          </w:p>
        </w:tc>
      </w:tr>
      <w:tr w:rsidR="00CD5D79" w:rsidRPr="000A76A7" w14:paraId="0D7101C6" w14:textId="77777777" w:rsidTr="002150A6">
        <w:tblPrEx>
          <w:tblCellMar>
            <w:top w:w="115" w:type="dxa"/>
            <w:bottom w:w="86" w:type="dxa"/>
          </w:tblCellMar>
        </w:tblPrEx>
        <w:trPr>
          <w:trHeight w:val="216"/>
        </w:trPr>
        <w:tc>
          <w:tcPr>
            <w:tcW w:w="1625" w:type="pct"/>
            <w:shd w:val="clear" w:color="auto" w:fill="D9E2F3" w:themeFill="accent1" w:themeFillTint="33"/>
            <w:tcMar>
              <w:top w:w="43" w:type="dxa"/>
              <w:left w:w="115" w:type="dxa"/>
              <w:bottom w:w="43" w:type="dxa"/>
              <w:right w:w="115" w:type="dxa"/>
            </w:tcMar>
          </w:tcPr>
          <w:p w14:paraId="067513AF" w14:textId="73565BD6" w:rsidR="00516AF4" w:rsidRPr="000A76A7" w:rsidRDefault="00516AF4" w:rsidP="000B20FE">
            <w:pPr>
              <w:tabs>
                <w:tab w:val="left" w:pos="360"/>
              </w:tabs>
              <w:spacing w:line="264" w:lineRule="auto"/>
              <w:rPr>
                <w:rFonts w:cs="Arial"/>
                <w:sz w:val="18"/>
                <w:szCs w:val="18"/>
              </w:rPr>
            </w:pPr>
            <w:r w:rsidRPr="000A76A7">
              <w:rPr>
                <w:rFonts w:cs="Arial"/>
                <w:b/>
                <w:sz w:val="18"/>
                <w:szCs w:val="18"/>
              </w:rPr>
              <w:t>My Way Senior Checking</w:t>
            </w:r>
          </w:p>
        </w:tc>
        <w:tc>
          <w:tcPr>
            <w:tcW w:w="541" w:type="pct"/>
            <w:shd w:val="clear" w:color="auto" w:fill="D9E2F3" w:themeFill="accent1" w:themeFillTint="33"/>
            <w:tcMar>
              <w:top w:w="43" w:type="dxa"/>
              <w:left w:w="115" w:type="dxa"/>
              <w:bottom w:w="43" w:type="dxa"/>
              <w:right w:w="115" w:type="dxa"/>
            </w:tcMar>
          </w:tcPr>
          <w:p w14:paraId="425AC130" w14:textId="1800B10A" w:rsidR="00516AF4" w:rsidRPr="000A76A7" w:rsidRDefault="00516AF4" w:rsidP="00635DAD">
            <w:pPr>
              <w:spacing w:line="264" w:lineRule="auto"/>
              <w:jc w:val="center"/>
              <w:rPr>
                <w:rFonts w:cs="Arial"/>
                <w:sz w:val="18"/>
                <w:szCs w:val="18"/>
              </w:rPr>
            </w:pPr>
            <w:r w:rsidRPr="000A76A7">
              <w:rPr>
                <w:rFonts w:cs="Arial"/>
                <w:sz w:val="18"/>
                <w:szCs w:val="18"/>
              </w:rPr>
              <w:t>0.10%</w:t>
            </w:r>
          </w:p>
        </w:tc>
        <w:tc>
          <w:tcPr>
            <w:tcW w:w="680" w:type="pct"/>
            <w:shd w:val="clear" w:color="auto" w:fill="D9E2F3" w:themeFill="accent1" w:themeFillTint="33"/>
            <w:tcMar>
              <w:top w:w="43" w:type="dxa"/>
              <w:left w:w="115" w:type="dxa"/>
              <w:bottom w:w="43" w:type="dxa"/>
              <w:right w:w="115" w:type="dxa"/>
            </w:tcMar>
          </w:tcPr>
          <w:p w14:paraId="4038D41F" w14:textId="4E51E2BA" w:rsidR="00516AF4" w:rsidRPr="000A76A7" w:rsidRDefault="00516AF4" w:rsidP="00635DAD">
            <w:pPr>
              <w:spacing w:line="264" w:lineRule="auto"/>
              <w:jc w:val="center"/>
              <w:rPr>
                <w:rFonts w:cs="Arial"/>
                <w:sz w:val="18"/>
                <w:szCs w:val="18"/>
              </w:rPr>
            </w:pPr>
            <w:r w:rsidRPr="000A76A7">
              <w:rPr>
                <w:rFonts w:cs="Arial"/>
                <w:sz w:val="18"/>
                <w:szCs w:val="18"/>
              </w:rPr>
              <w:t>0.10%</w:t>
            </w:r>
          </w:p>
        </w:tc>
        <w:tc>
          <w:tcPr>
            <w:tcW w:w="581" w:type="pct"/>
            <w:shd w:val="clear" w:color="auto" w:fill="D9E2F3" w:themeFill="accent1" w:themeFillTint="33"/>
            <w:tcMar>
              <w:top w:w="43" w:type="dxa"/>
              <w:left w:w="115" w:type="dxa"/>
              <w:bottom w:w="43" w:type="dxa"/>
              <w:right w:w="115" w:type="dxa"/>
            </w:tcMar>
            <w:vAlign w:val="center"/>
          </w:tcPr>
          <w:p w14:paraId="5F2E8379" w14:textId="5CC3FAF4" w:rsidR="00516AF4" w:rsidRPr="000A76A7" w:rsidRDefault="009A01B6" w:rsidP="00635DAD">
            <w:pPr>
              <w:spacing w:line="264" w:lineRule="auto"/>
              <w:jc w:val="center"/>
              <w:rPr>
                <w:rFonts w:cs="Arial"/>
                <w:sz w:val="18"/>
                <w:szCs w:val="18"/>
              </w:rPr>
            </w:pPr>
            <w:r>
              <w:rPr>
                <w:rFonts w:cs="Arial"/>
                <w:sz w:val="18"/>
                <w:szCs w:val="18"/>
              </w:rPr>
              <w:t>n/a</w:t>
            </w:r>
          </w:p>
        </w:tc>
        <w:tc>
          <w:tcPr>
            <w:tcW w:w="515" w:type="pct"/>
            <w:shd w:val="clear" w:color="auto" w:fill="D9E2F3" w:themeFill="accent1" w:themeFillTint="33"/>
            <w:tcMar>
              <w:top w:w="43" w:type="dxa"/>
              <w:left w:w="115" w:type="dxa"/>
              <w:bottom w:w="43" w:type="dxa"/>
              <w:right w:w="115" w:type="dxa"/>
            </w:tcMar>
            <w:vAlign w:val="center"/>
          </w:tcPr>
          <w:p w14:paraId="1676AD79" w14:textId="7B451BAC" w:rsidR="00516AF4" w:rsidRPr="000A76A7" w:rsidRDefault="009A01B6" w:rsidP="00635DAD">
            <w:pPr>
              <w:spacing w:line="264" w:lineRule="auto"/>
              <w:jc w:val="center"/>
              <w:rPr>
                <w:rFonts w:cs="Arial"/>
                <w:sz w:val="18"/>
                <w:szCs w:val="18"/>
              </w:rPr>
            </w:pPr>
            <w:r>
              <w:rPr>
                <w:rFonts w:cs="Arial"/>
                <w:sz w:val="18"/>
                <w:szCs w:val="18"/>
              </w:rPr>
              <w:t>n/a</w:t>
            </w:r>
          </w:p>
        </w:tc>
        <w:tc>
          <w:tcPr>
            <w:tcW w:w="613" w:type="pct"/>
            <w:shd w:val="clear" w:color="auto" w:fill="D9E2F3" w:themeFill="accent1" w:themeFillTint="33"/>
            <w:tcMar>
              <w:top w:w="43" w:type="dxa"/>
              <w:left w:w="115" w:type="dxa"/>
              <w:bottom w:w="43" w:type="dxa"/>
              <w:right w:w="115" w:type="dxa"/>
            </w:tcMar>
            <w:vAlign w:val="center"/>
          </w:tcPr>
          <w:p w14:paraId="61E9BFBD" w14:textId="2E3A43A2" w:rsidR="00516AF4" w:rsidRPr="000A76A7" w:rsidRDefault="00516AF4" w:rsidP="00635DAD">
            <w:pPr>
              <w:spacing w:line="264" w:lineRule="auto"/>
              <w:jc w:val="center"/>
              <w:rPr>
                <w:rFonts w:cs="Arial"/>
                <w:sz w:val="18"/>
                <w:szCs w:val="18"/>
              </w:rPr>
            </w:pPr>
            <w:r w:rsidRPr="000A76A7">
              <w:rPr>
                <w:rFonts w:cs="Arial"/>
                <w:sz w:val="18"/>
                <w:szCs w:val="18"/>
              </w:rPr>
              <w:t>Monthly</w:t>
            </w:r>
          </w:p>
        </w:tc>
        <w:tc>
          <w:tcPr>
            <w:tcW w:w="445" w:type="pct"/>
            <w:shd w:val="clear" w:color="auto" w:fill="D9E2F3" w:themeFill="accent1" w:themeFillTint="33"/>
            <w:tcMar>
              <w:top w:w="43" w:type="dxa"/>
              <w:left w:w="115" w:type="dxa"/>
              <w:bottom w:w="43" w:type="dxa"/>
              <w:right w:w="115" w:type="dxa"/>
            </w:tcMar>
            <w:vAlign w:val="center"/>
          </w:tcPr>
          <w:p w14:paraId="5F6DAC1F" w14:textId="77777777" w:rsidR="00516AF4" w:rsidRPr="000A76A7" w:rsidRDefault="00516AF4" w:rsidP="00635DAD">
            <w:pPr>
              <w:spacing w:line="264" w:lineRule="auto"/>
              <w:jc w:val="center"/>
              <w:rPr>
                <w:rFonts w:cs="Arial"/>
                <w:sz w:val="18"/>
                <w:szCs w:val="18"/>
              </w:rPr>
            </w:pPr>
            <w:r w:rsidRPr="000A76A7">
              <w:rPr>
                <w:rFonts w:cs="Arial"/>
                <w:sz w:val="18"/>
                <w:szCs w:val="18"/>
              </w:rPr>
              <w:t>Monthly</w:t>
            </w:r>
          </w:p>
        </w:tc>
      </w:tr>
      <w:tr w:rsidR="00CD5D79" w:rsidRPr="000A76A7" w14:paraId="69EFFB58" w14:textId="77777777" w:rsidTr="002150A6">
        <w:tblPrEx>
          <w:tblCellMar>
            <w:top w:w="115" w:type="dxa"/>
            <w:bottom w:w="86" w:type="dxa"/>
          </w:tblCellMar>
        </w:tblPrEx>
        <w:trPr>
          <w:trHeight w:val="216"/>
        </w:trPr>
        <w:tc>
          <w:tcPr>
            <w:tcW w:w="1625" w:type="pct"/>
            <w:tcBorders>
              <w:top w:val="single" w:sz="4" w:space="0" w:color="000000"/>
              <w:bottom w:val="single" w:sz="4" w:space="0" w:color="000000"/>
              <w:right w:val="single" w:sz="4" w:space="0" w:color="000000"/>
            </w:tcBorders>
            <w:shd w:val="clear" w:color="auto" w:fill="FFFFFF" w:themeFill="background1"/>
            <w:tcMar>
              <w:top w:w="43" w:type="dxa"/>
              <w:left w:w="115" w:type="dxa"/>
              <w:bottom w:w="43" w:type="dxa"/>
              <w:right w:w="115" w:type="dxa"/>
            </w:tcMar>
          </w:tcPr>
          <w:p w14:paraId="2D44728E" w14:textId="77777777" w:rsidR="00516AF4" w:rsidRPr="000A76A7" w:rsidRDefault="00516AF4" w:rsidP="000B20FE">
            <w:pPr>
              <w:tabs>
                <w:tab w:val="left" w:pos="360"/>
              </w:tabs>
              <w:spacing w:line="264" w:lineRule="auto"/>
              <w:rPr>
                <w:rFonts w:cs="Arial"/>
                <w:b/>
                <w:sz w:val="18"/>
                <w:szCs w:val="18"/>
              </w:rPr>
            </w:pPr>
            <w:r w:rsidRPr="000A76A7">
              <w:rPr>
                <w:rFonts w:cs="Arial"/>
                <w:b/>
                <w:sz w:val="18"/>
                <w:szCs w:val="18"/>
              </w:rPr>
              <w:t>Retirement Plan Shares</w:t>
            </w:r>
          </w:p>
        </w:tc>
        <w:tc>
          <w:tcPr>
            <w:tcW w:w="541"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115" w:type="dxa"/>
              <w:bottom w:w="43" w:type="dxa"/>
              <w:right w:w="115" w:type="dxa"/>
            </w:tcMar>
          </w:tcPr>
          <w:p w14:paraId="35EB6EF4" w14:textId="1690FAD7" w:rsidR="00516AF4" w:rsidRPr="000A76A7" w:rsidRDefault="00516AF4" w:rsidP="00635DAD">
            <w:pPr>
              <w:spacing w:line="264" w:lineRule="auto"/>
              <w:jc w:val="center"/>
              <w:rPr>
                <w:rFonts w:cs="Arial"/>
                <w:sz w:val="18"/>
                <w:szCs w:val="18"/>
              </w:rPr>
            </w:pPr>
            <w:r w:rsidRPr="000A76A7">
              <w:rPr>
                <w:rFonts w:cs="Arial"/>
                <w:sz w:val="18"/>
                <w:szCs w:val="18"/>
              </w:rPr>
              <w:t>0.</w:t>
            </w:r>
            <w:r>
              <w:rPr>
                <w:rFonts w:cs="Arial"/>
                <w:sz w:val="18"/>
                <w:szCs w:val="18"/>
              </w:rPr>
              <w:t>2</w:t>
            </w:r>
            <w:r w:rsidRPr="000A76A7">
              <w:rPr>
                <w:rFonts w:cs="Arial"/>
                <w:sz w:val="18"/>
                <w:szCs w:val="18"/>
              </w:rPr>
              <w:t>0%</w:t>
            </w:r>
          </w:p>
        </w:tc>
        <w:tc>
          <w:tcPr>
            <w:tcW w:w="68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115" w:type="dxa"/>
              <w:bottom w:w="43" w:type="dxa"/>
              <w:right w:w="115" w:type="dxa"/>
            </w:tcMar>
          </w:tcPr>
          <w:p w14:paraId="240C576A" w14:textId="6B63B2CF" w:rsidR="00516AF4" w:rsidRPr="000A76A7" w:rsidRDefault="00516AF4" w:rsidP="00635DAD">
            <w:pPr>
              <w:spacing w:line="264" w:lineRule="auto"/>
              <w:jc w:val="center"/>
              <w:rPr>
                <w:rFonts w:cs="Arial"/>
                <w:sz w:val="18"/>
                <w:szCs w:val="18"/>
              </w:rPr>
            </w:pPr>
            <w:r w:rsidRPr="000A76A7">
              <w:rPr>
                <w:rFonts w:cs="Arial"/>
                <w:sz w:val="18"/>
                <w:szCs w:val="18"/>
              </w:rPr>
              <w:t>0.</w:t>
            </w:r>
            <w:r>
              <w:rPr>
                <w:rFonts w:cs="Arial"/>
                <w:sz w:val="18"/>
                <w:szCs w:val="18"/>
              </w:rPr>
              <w:t>2</w:t>
            </w:r>
            <w:r w:rsidRPr="000A76A7">
              <w:rPr>
                <w:rFonts w:cs="Arial"/>
                <w:sz w:val="18"/>
                <w:szCs w:val="18"/>
              </w:rPr>
              <w:t>0%</w:t>
            </w:r>
          </w:p>
        </w:tc>
        <w:tc>
          <w:tcPr>
            <w:tcW w:w="581"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115" w:type="dxa"/>
              <w:bottom w:w="43" w:type="dxa"/>
              <w:right w:w="115" w:type="dxa"/>
            </w:tcMar>
            <w:vAlign w:val="center"/>
          </w:tcPr>
          <w:p w14:paraId="08825002" w14:textId="56BB6F8F" w:rsidR="00516AF4" w:rsidRPr="000A76A7" w:rsidRDefault="009A01B6" w:rsidP="00635DAD">
            <w:pPr>
              <w:spacing w:line="264" w:lineRule="auto"/>
              <w:jc w:val="center"/>
              <w:rPr>
                <w:rFonts w:cs="Arial"/>
                <w:sz w:val="18"/>
                <w:szCs w:val="18"/>
              </w:rPr>
            </w:pPr>
            <w:r>
              <w:rPr>
                <w:rFonts w:cs="Arial"/>
                <w:sz w:val="18"/>
                <w:szCs w:val="18"/>
              </w:rPr>
              <w:t>n/a</w:t>
            </w:r>
          </w:p>
        </w:tc>
        <w:tc>
          <w:tcPr>
            <w:tcW w:w="515"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115" w:type="dxa"/>
              <w:bottom w:w="43" w:type="dxa"/>
              <w:right w:w="115" w:type="dxa"/>
            </w:tcMar>
            <w:vAlign w:val="center"/>
          </w:tcPr>
          <w:p w14:paraId="0A440FAE" w14:textId="22DF9B04" w:rsidR="00516AF4" w:rsidRPr="000A76A7" w:rsidRDefault="009A01B6" w:rsidP="00635DAD">
            <w:pPr>
              <w:spacing w:line="264" w:lineRule="auto"/>
              <w:jc w:val="center"/>
              <w:rPr>
                <w:rFonts w:cs="Arial"/>
                <w:sz w:val="18"/>
                <w:szCs w:val="18"/>
              </w:rPr>
            </w:pPr>
            <w:r>
              <w:rPr>
                <w:rFonts w:cs="Arial"/>
                <w:sz w:val="18"/>
                <w:szCs w:val="18"/>
              </w:rPr>
              <w:t>n/a</w:t>
            </w:r>
          </w:p>
        </w:tc>
        <w:tc>
          <w:tcPr>
            <w:tcW w:w="61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115" w:type="dxa"/>
              <w:bottom w:w="43" w:type="dxa"/>
              <w:right w:w="115" w:type="dxa"/>
            </w:tcMar>
            <w:vAlign w:val="center"/>
          </w:tcPr>
          <w:p w14:paraId="701A4D77" w14:textId="423B6548" w:rsidR="00516AF4" w:rsidRPr="000A76A7" w:rsidRDefault="00516AF4" w:rsidP="00635DAD">
            <w:pPr>
              <w:spacing w:line="264" w:lineRule="auto"/>
              <w:jc w:val="center"/>
              <w:rPr>
                <w:rFonts w:cs="Arial"/>
                <w:sz w:val="18"/>
                <w:szCs w:val="18"/>
              </w:rPr>
            </w:pPr>
            <w:r w:rsidRPr="000A76A7">
              <w:rPr>
                <w:rFonts w:cs="Arial"/>
                <w:sz w:val="18"/>
                <w:szCs w:val="18"/>
              </w:rPr>
              <w:t>Monthly</w:t>
            </w:r>
          </w:p>
        </w:tc>
        <w:tc>
          <w:tcPr>
            <w:tcW w:w="445" w:type="pct"/>
            <w:tcBorders>
              <w:top w:val="single" w:sz="4" w:space="0" w:color="000000"/>
              <w:left w:val="single" w:sz="4" w:space="0" w:color="000000"/>
              <w:bottom w:val="single" w:sz="4" w:space="0" w:color="000000"/>
            </w:tcBorders>
            <w:shd w:val="clear" w:color="auto" w:fill="FFFFFF" w:themeFill="background1"/>
            <w:tcMar>
              <w:top w:w="43" w:type="dxa"/>
              <w:left w:w="115" w:type="dxa"/>
              <w:bottom w:w="43" w:type="dxa"/>
              <w:right w:w="115" w:type="dxa"/>
            </w:tcMar>
            <w:vAlign w:val="center"/>
          </w:tcPr>
          <w:p w14:paraId="3C1AC478" w14:textId="77777777" w:rsidR="00516AF4" w:rsidRPr="000A76A7" w:rsidRDefault="00516AF4" w:rsidP="00635DAD">
            <w:pPr>
              <w:spacing w:line="264" w:lineRule="auto"/>
              <w:jc w:val="center"/>
              <w:rPr>
                <w:rFonts w:cs="Arial"/>
                <w:sz w:val="18"/>
                <w:szCs w:val="18"/>
              </w:rPr>
            </w:pPr>
            <w:r w:rsidRPr="000A76A7">
              <w:rPr>
                <w:rFonts w:cs="Arial"/>
                <w:sz w:val="18"/>
                <w:szCs w:val="18"/>
              </w:rPr>
              <w:t>Monthly</w:t>
            </w:r>
          </w:p>
        </w:tc>
      </w:tr>
      <w:tr w:rsidR="00CD5D79" w:rsidRPr="000A76A7" w14:paraId="4E531E5D" w14:textId="77777777" w:rsidTr="002150A6">
        <w:tblPrEx>
          <w:tblCellMar>
            <w:top w:w="43" w:type="dxa"/>
            <w:bottom w:w="14" w:type="dxa"/>
          </w:tblCellMar>
        </w:tblPrEx>
        <w:trPr>
          <w:trHeight w:val="20"/>
        </w:trPr>
        <w:tc>
          <w:tcPr>
            <w:tcW w:w="1625" w:type="pct"/>
            <w:tcBorders>
              <w:bottom w:val="single" w:sz="4" w:space="0" w:color="000000"/>
            </w:tcBorders>
            <w:shd w:val="clear" w:color="auto" w:fill="D9E2F3" w:themeFill="accent1" w:themeFillTint="33"/>
            <w:tcMar>
              <w:top w:w="43" w:type="dxa"/>
              <w:left w:w="115" w:type="dxa"/>
              <w:bottom w:w="43" w:type="dxa"/>
              <w:right w:w="115" w:type="dxa"/>
            </w:tcMar>
          </w:tcPr>
          <w:p w14:paraId="0C0CC8BE" w14:textId="6B5184F3" w:rsidR="00516AF4" w:rsidRPr="000A76A7" w:rsidRDefault="00516AF4" w:rsidP="000B20FE">
            <w:pPr>
              <w:pStyle w:val="CU-08RFleft-justifiedcopy"/>
              <w:spacing w:before="0" w:line="264" w:lineRule="auto"/>
              <w:rPr>
                <w:rFonts w:cs="Arial"/>
                <w:bCs/>
                <w:szCs w:val="18"/>
              </w:rPr>
            </w:pPr>
            <w:r w:rsidRPr="000B20FE">
              <w:rPr>
                <w:b/>
                <w:bCs/>
              </w:rPr>
              <w:t>Money Market Account</w:t>
            </w:r>
            <w:r w:rsidRPr="000B20FE">
              <w:rPr>
                <w:b/>
                <w:bCs/>
              </w:rPr>
              <w:br/>
            </w:r>
            <w:r w:rsidRPr="000B20FE">
              <w:t>$0.00 - $50,000.00</w:t>
            </w:r>
            <w:r w:rsidRPr="000B20FE">
              <w:br/>
              <w:t>$50,000.01 - $100,000.00</w:t>
            </w:r>
            <w:r w:rsidRPr="000B20FE">
              <w:br/>
              <w:t>$100,000.01 - $200,000.00</w:t>
            </w:r>
            <w:r w:rsidRPr="000B20FE">
              <w:br/>
              <w:t>$200,000.01 or greater</w:t>
            </w:r>
          </w:p>
        </w:tc>
        <w:tc>
          <w:tcPr>
            <w:tcW w:w="541" w:type="pct"/>
            <w:tcBorders>
              <w:bottom w:val="single" w:sz="4" w:space="0" w:color="000000"/>
            </w:tcBorders>
            <w:shd w:val="clear" w:color="auto" w:fill="D9E2F3" w:themeFill="accent1" w:themeFillTint="33"/>
            <w:tcMar>
              <w:top w:w="43" w:type="dxa"/>
              <w:left w:w="115" w:type="dxa"/>
              <w:bottom w:w="43" w:type="dxa"/>
              <w:right w:w="115" w:type="dxa"/>
            </w:tcMar>
            <w:vAlign w:val="center"/>
          </w:tcPr>
          <w:p w14:paraId="617DC669" w14:textId="0D2D4F75" w:rsidR="00516AF4" w:rsidRPr="000B20FE" w:rsidRDefault="00516AF4" w:rsidP="00635DAD">
            <w:pPr>
              <w:pStyle w:val="CU-05RFcentered"/>
              <w:spacing w:line="264" w:lineRule="auto"/>
            </w:pPr>
            <w:r w:rsidRPr="000B20FE">
              <w:br/>
              <w:t>0.</w:t>
            </w:r>
            <w:r>
              <w:t>7</w:t>
            </w:r>
            <w:r w:rsidRPr="000B20FE">
              <w:t>0%</w:t>
            </w:r>
            <w:r w:rsidRPr="000B20FE">
              <w:br/>
              <w:t>0.</w:t>
            </w:r>
            <w:r>
              <w:t>7</w:t>
            </w:r>
            <w:r w:rsidRPr="000B20FE">
              <w:t>0%</w:t>
            </w:r>
            <w:r w:rsidRPr="000B20FE">
              <w:br/>
              <w:t>0.</w:t>
            </w:r>
            <w:r>
              <w:t>8</w:t>
            </w:r>
            <w:r w:rsidRPr="000B20FE">
              <w:t>0%</w:t>
            </w:r>
            <w:r w:rsidRPr="000B20FE">
              <w:br/>
              <w:t>0.</w:t>
            </w:r>
            <w:r>
              <w:t>8</w:t>
            </w:r>
            <w:r w:rsidRPr="000B20FE">
              <w:t>0%</w:t>
            </w:r>
          </w:p>
        </w:tc>
        <w:tc>
          <w:tcPr>
            <w:tcW w:w="680" w:type="pct"/>
            <w:tcBorders>
              <w:bottom w:val="single" w:sz="4" w:space="0" w:color="000000"/>
            </w:tcBorders>
            <w:shd w:val="clear" w:color="auto" w:fill="D9E2F3" w:themeFill="accent1" w:themeFillTint="33"/>
            <w:tcMar>
              <w:top w:w="43" w:type="dxa"/>
              <w:left w:w="115" w:type="dxa"/>
              <w:bottom w:w="43" w:type="dxa"/>
              <w:right w:w="115" w:type="dxa"/>
            </w:tcMar>
            <w:vAlign w:val="center"/>
          </w:tcPr>
          <w:p w14:paraId="31319C7D" w14:textId="52573DB5" w:rsidR="00516AF4" w:rsidRPr="000B20FE" w:rsidRDefault="00516AF4" w:rsidP="00635DAD">
            <w:pPr>
              <w:pStyle w:val="CU-05RFcentered"/>
              <w:spacing w:line="264" w:lineRule="auto"/>
            </w:pPr>
            <w:r w:rsidRPr="000B20FE">
              <w:br/>
              <w:t>0.</w:t>
            </w:r>
            <w:r>
              <w:t>7</w:t>
            </w:r>
            <w:r w:rsidRPr="000B20FE">
              <w:t>0%</w:t>
            </w:r>
            <w:r w:rsidRPr="000B20FE">
              <w:br/>
              <w:t>0.</w:t>
            </w:r>
            <w:r>
              <w:t>7</w:t>
            </w:r>
            <w:r w:rsidRPr="000B20FE">
              <w:t>0%</w:t>
            </w:r>
            <w:r w:rsidRPr="000B20FE">
              <w:br/>
              <w:t>0.</w:t>
            </w:r>
            <w:r>
              <w:t>8</w:t>
            </w:r>
            <w:r w:rsidRPr="000B20FE">
              <w:t>0%</w:t>
            </w:r>
            <w:r w:rsidRPr="000B20FE">
              <w:br/>
              <w:t>0.</w:t>
            </w:r>
            <w:r>
              <w:t>8</w:t>
            </w:r>
            <w:r w:rsidRPr="000B20FE">
              <w:t>0%</w:t>
            </w:r>
          </w:p>
        </w:tc>
        <w:tc>
          <w:tcPr>
            <w:tcW w:w="581" w:type="pct"/>
            <w:tcBorders>
              <w:bottom w:val="single" w:sz="4" w:space="0" w:color="000000"/>
            </w:tcBorders>
            <w:shd w:val="clear" w:color="auto" w:fill="D9E2F3" w:themeFill="accent1" w:themeFillTint="33"/>
            <w:tcMar>
              <w:top w:w="43" w:type="dxa"/>
              <w:left w:w="115" w:type="dxa"/>
              <w:bottom w:w="43" w:type="dxa"/>
              <w:right w:w="115" w:type="dxa"/>
            </w:tcMar>
            <w:vAlign w:val="center"/>
          </w:tcPr>
          <w:p w14:paraId="574D21EE" w14:textId="104B22A1" w:rsidR="00516AF4" w:rsidRPr="000A76A7" w:rsidRDefault="009A01B6" w:rsidP="00635DAD">
            <w:pPr>
              <w:pStyle w:val="CU-05RFcentered"/>
              <w:spacing w:line="264" w:lineRule="auto"/>
              <w:rPr>
                <w:rFonts w:cs="Arial"/>
                <w:szCs w:val="18"/>
              </w:rPr>
            </w:pPr>
            <w:r>
              <w:rPr>
                <w:rFonts w:cs="Arial"/>
                <w:szCs w:val="18"/>
              </w:rPr>
              <w:t>$5</w:t>
            </w:r>
          </w:p>
        </w:tc>
        <w:tc>
          <w:tcPr>
            <w:tcW w:w="515" w:type="pct"/>
            <w:tcBorders>
              <w:bottom w:val="single" w:sz="4" w:space="0" w:color="000000"/>
            </w:tcBorders>
            <w:shd w:val="clear" w:color="auto" w:fill="D9E2F3" w:themeFill="accent1" w:themeFillTint="33"/>
            <w:tcMar>
              <w:top w:w="43" w:type="dxa"/>
              <w:left w:w="115" w:type="dxa"/>
              <w:bottom w:w="43" w:type="dxa"/>
              <w:right w:w="115" w:type="dxa"/>
            </w:tcMar>
            <w:vAlign w:val="center"/>
          </w:tcPr>
          <w:p w14:paraId="451B7BFB" w14:textId="579BFCF2" w:rsidR="00516AF4" w:rsidRPr="000A76A7" w:rsidRDefault="009A01B6" w:rsidP="00635DAD">
            <w:pPr>
              <w:pStyle w:val="CU-05RFcentered"/>
              <w:spacing w:line="264" w:lineRule="auto"/>
              <w:rPr>
                <w:rFonts w:cs="Arial"/>
                <w:szCs w:val="18"/>
              </w:rPr>
            </w:pPr>
            <w:r>
              <w:rPr>
                <w:rFonts w:cs="Arial"/>
                <w:szCs w:val="18"/>
              </w:rPr>
              <w:t>n/a</w:t>
            </w:r>
          </w:p>
        </w:tc>
        <w:tc>
          <w:tcPr>
            <w:tcW w:w="613" w:type="pct"/>
            <w:tcBorders>
              <w:bottom w:val="single" w:sz="4" w:space="0" w:color="000000"/>
            </w:tcBorders>
            <w:shd w:val="clear" w:color="auto" w:fill="D9E2F3" w:themeFill="accent1" w:themeFillTint="33"/>
            <w:tcMar>
              <w:top w:w="43" w:type="dxa"/>
              <w:left w:w="115" w:type="dxa"/>
              <w:bottom w:w="43" w:type="dxa"/>
              <w:right w:w="115" w:type="dxa"/>
            </w:tcMar>
            <w:vAlign w:val="center"/>
          </w:tcPr>
          <w:p w14:paraId="4ACE8D18" w14:textId="28E3FB2F" w:rsidR="00516AF4" w:rsidRPr="000A76A7" w:rsidRDefault="00516AF4" w:rsidP="00635DAD">
            <w:pPr>
              <w:pStyle w:val="CU-05RFcentered"/>
              <w:spacing w:line="264" w:lineRule="auto"/>
              <w:rPr>
                <w:rFonts w:cs="Arial"/>
                <w:szCs w:val="18"/>
              </w:rPr>
            </w:pPr>
            <w:r w:rsidRPr="000A76A7">
              <w:rPr>
                <w:rFonts w:cs="Arial"/>
                <w:szCs w:val="18"/>
              </w:rPr>
              <w:t>Monthly</w:t>
            </w:r>
          </w:p>
        </w:tc>
        <w:tc>
          <w:tcPr>
            <w:tcW w:w="445" w:type="pct"/>
            <w:tcBorders>
              <w:bottom w:val="single" w:sz="4" w:space="0" w:color="000000"/>
            </w:tcBorders>
            <w:shd w:val="clear" w:color="auto" w:fill="D9E2F3" w:themeFill="accent1" w:themeFillTint="33"/>
            <w:tcMar>
              <w:top w:w="43" w:type="dxa"/>
              <w:left w:w="115" w:type="dxa"/>
              <w:bottom w:w="43" w:type="dxa"/>
              <w:right w:w="115" w:type="dxa"/>
            </w:tcMar>
            <w:vAlign w:val="center"/>
          </w:tcPr>
          <w:p w14:paraId="7107ABB4" w14:textId="77777777" w:rsidR="00516AF4" w:rsidRPr="000A76A7" w:rsidRDefault="00516AF4" w:rsidP="00635DAD">
            <w:pPr>
              <w:pStyle w:val="CU-05RFcentered"/>
              <w:spacing w:line="264" w:lineRule="auto"/>
              <w:rPr>
                <w:rFonts w:cs="Arial"/>
                <w:szCs w:val="18"/>
              </w:rPr>
            </w:pPr>
            <w:r w:rsidRPr="000A76A7">
              <w:rPr>
                <w:rFonts w:cs="Arial"/>
                <w:szCs w:val="18"/>
              </w:rPr>
              <w:t>Monthly</w:t>
            </w:r>
          </w:p>
        </w:tc>
      </w:tr>
      <w:tr w:rsidR="00CD5D79" w:rsidRPr="000A76A7" w14:paraId="2A389980" w14:textId="77777777" w:rsidTr="002150A6">
        <w:tblPrEx>
          <w:tblCellMar>
            <w:top w:w="115" w:type="dxa"/>
            <w:bottom w:w="86" w:type="dxa"/>
          </w:tblCellMar>
        </w:tblPrEx>
        <w:trPr>
          <w:trHeight w:val="2038"/>
        </w:trPr>
        <w:tc>
          <w:tcPr>
            <w:tcW w:w="1625" w:type="pct"/>
            <w:shd w:val="clear" w:color="auto" w:fill="FFFFFF" w:themeFill="background1"/>
            <w:tcMar>
              <w:top w:w="43" w:type="dxa"/>
              <w:left w:w="115" w:type="dxa"/>
              <w:bottom w:w="43" w:type="dxa"/>
              <w:right w:w="115" w:type="dxa"/>
            </w:tcMar>
          </w:tcPr>
          <w:p w14:paraId="4D5B144B" w14:textId="0713FE01" w:rsidR="00516AF4" w:rsidRPr="000A76A7" w:rsidRDefault="00516AF4" w:rsidP="000B20FE">
            <w:pPr>
              <w:tabs>
                <w:tab w:val="left" w:pos="360"/>
              </w:tabs>
              <w:spacing w:line="264" w:lineRule="auto"/>
              <w:ind w:left="216" w:hanging="216"/>
              <w:rPr>
                <w:rFonts w:cs="Arial"/>
                <w:sz w:val="18"/>
                <w:szCs w:val="18"/>
              </w:rPr>
            </w:pPr>
            <w:r>
              <w:rPr>
                <w:rFonts w:cs="Arial"/>
                <w:b/>
                <w:sz w:val="18"/>
                <w:szCs w:val="18"/>
              </w:rPr>
              <w:t xml:space="preserve">Share </w:t>
            </w:r>
            <w:r w:rsidRPr="000A76A7">
              <w:rPr>
                <w:rFonts w:cs="Arial"/>
                <w:b/>
                <w:sz w:val="18"/>
                <w:szCs w:val="18"/>
              </w:rPr>
              <w:t>Certificates</w:t>
            </w:r>
            <w:r w:rsidRPr="000A76A7">
              <w:rPr>
                <w:rFonts w:cs="Arial"/>
                <w:b/>
                <w:sz w:val="18"/>
                <w:szCs w:val="18"/>
              </w:rPr>
              <w:br/>
            </w:r>
            <w:r w:rsidRPr="000A76A7">
              <w:rPr>
                <w:rFonts w:cs="Arial"/>
                <w:sz w:val="18"/>
                <w:szCs w:val="18"/>
              </w:rPr>
              <w:t>6 Months (Regular Only)</w:t>
            </w:r>
            <w:r>
              <w:rPr>
                <w:rFonts w:cs="Arial"/>
                <w:sz w:val="18"/>
                <w:szCs w:val="18"/>
              </w:rPr>
              <w:br/>
            </w:r>
            <w:r w:rsidRPr="000A76A7">
              <w:rPr>
                <w:rFonts w:cs="Arial"/>
                <w:sz w:val="18"/>
                <w:szCs w:val="18"/>
              </w:rPr>
              <w:t>12 Months (Regular and IRA)</w:t>
            </w:r>
            <w:r w:rsidRPr="000A76A7">
              <w:rPr>
                <w:rFonts w:cs="Arial"/>
                <w:sz w:val="18"/>
                <w:szCs w:val="18"/>
              </w:rPr>
              <w:br/>
              <w:t>18 Months (Regular Only)</w:t>
            </w:r>
            <w:r w:rsidRPr="000A76A7">
              <w:rPr>
                <w:rFonts w:cs="Arial"/>
                <w:sz w:val="18"/>
                <w:szCs w:val="18"/>
              </w:rPr>
              <w:br/>
              <w:t>24 Months (Regular and IRA)</w:t>
            </w:r>
            <w:r w:rsidRPr="000A76A7">
              <w:rPr>
                <w:rFonts w:cs="Arial"/>
                <w:sz w:val="18"/>
                <w:szCs w:val="18"/>
              </w:rPr>
              <w:br/>
              <w:t>36 Months (Regular and IRA)</w:t>
            </w:r>
            <w:r w:rsidRPr="000A76A7">
              <w:rPr>
                <w:rFonts w:cs="Arial"/>
                <w:sz w:val="18"/>
                <w:szCs w:val="18"/>
              </w:rPr>
              <w:br/>
              <w:t>48 Months (Regular and IRA)</w:t>
            </w:r>
            <w:r w:rsidRPr="000A76A7">
              <w:rPr>
                <w:rFonts w:cs="Arial"/>
                <w:sz w:val="18"/>
                <w:szCs w:val="18"/>
              </w:rPr>
              <w:br/>
              <w:t>60 Months (Regular and IRA)</w:t>
            </w:r>
            <w:r w:rsidRPr="000A76A7">
              <w:rPr>
                <w:rFonts w:cs="Arial"/>
                <w:sz w:val="18"/>
                <w:szCs w:val="18"/>
              </w:rPr>
              <w:br/>
              <w:t>84 Months (IRA Only)</w:t>
            </w:r>
          </w:p>
        </w:tc>
        <w:tc>
          <w:tcPr>
            <w:tcW w:w="541" w:type="pct"/>
            <w:shd w:val="clear" w:color="auto" w:fill="FFFFFF" w:themeFill="background1"/>
            <w:tcMar>
              <w:top w:w="43" w:type="dxa"/>
              <w:left w:w="115" w:type="dxa"/>
              <w:bottom w:w="43" w:type="dxa"/>
              <w:right w:w="115" w:type="dxa"/>
            </w:tcMar>
          </w:tcPr>
          <w:p w14:paraId="006958A2" w14:textId="19C797E7" w:rsidR="00516AF4" w:rsidRPr="000A76A7" w:rsidRDefault="00516AF4" w:rsidP="00635DAD">
            <w:pPr>
              <w:spacing w:line="264" w:lineRule="auto"/>
              <w:jc w:val="center"/>
              <w:rPr>
                <w:rFonts w:cs="Arial"/>
                <w:sz w:val="18"/>
                <w:szCs w:val="18"/>
              </w:rPr>
            </w:pPr>
            <w:r w:rsidRPr="000A76A7">
              <w:rPr>
                <w:rFonts w:cs="Arial"/>
                <w:sz w:val="18"/>
                <w:szCs w:val="18"/>
              </w:rPr>
              <w:br/>
            </w:r>
            <w:r>
              <w:rPr>
                <w:rFonts w:cs="Arial"/>
                <w:sz w:val="18"/>
                <w:szCs w:val="18"/>
              </w:rPr>
              <w:t>3.45</w:t>
            </w:r>
            <w:r w:rsidRPr="000A76A7">
              <w:rPr>
                <w:rFonts w:cs="Arial"/>
                <w:sz w:val="18"/>
                <w:szCs w:val="18"/>
              </w:rPr>
              <w:t>%</w:t>
            </w:r>
            <w:r w:rsidRPr="000A76A7">
              <w:rPr>
                <w:rFonts w:cs="Arial"/>
                <w:sz w:val="18"/>
                <w:szCs w:val="18"/>
              </w:rPr>
              <w:br/>
            </w:r>
            <w:r>
              <w:rPr>
                <w:rFonts w:cs="Arial"/>
                <w:sz w:val="18"/>
                <w:szCs w:val="18"/>
              </w:rPr>
              <w:t>3.69</w:t>
            </w:r>
            <w:r w:rsidRPr="000A76A7">
              <w:rPr>
                <w:rFonts w:cs="Arial"/>
                <w:sz w:val="18"/>
                <w:szCs w:val="18"/>
              </w:rPr>
              <w:t>%</w:t>
            </w:r>
            <w:r w:rsidRPr="000A76A7">
              <w:rPr>
                <w:rFonts w:cs="Arial"/>
                <w:sz w:val="18"/>
                <w:szCs w:val="18"/>
              </w:rPr>
              <w:br/>
            </w:r>
            <w:r>
              <w:rPr>
                <w:rFonts w:cs="Arial"/>
                <w:sz w:val="18"/>
                <w:szCs w:val="18"/>
              </w:rPr>
              <w:t>2.62</w:t>
            </w:r>
            <w:r w:rsidRPr="000A76A7">
              <w:rPr>
                <w:rFonts w:cs="Arial"/>
                <w:sz w:val="18"/>
                <w:szCs w:val="18"/>
              </w:rPr>
              <w:t>%</w:t>
            </w:r>
            <w:r w:rsidRPr="000A76A7">
              <w:rPr>
                <w:rFonts w:cs="Arial"/>
                <w:sz w:val="18"/>
                <w:szCs w:val="18"/>
              </w:rPr>
              <w:br/>
            </w:r>
            <w:r>
              <w:rPr>
                <w:rFonts w:cs="Arial"/>
                <w:sz w:val="18"/>
                <w:szCs w:val="18"/>
              </w:rPr>
              <w:t>2.62</w:t>
            </w:r>
            <w:r w:rsidRPr="000A76A7">
              <w:rPr>
                <w:rFonts w:cs="Arial"/>
                <w:sz w:val="18"/>
                <w:szCs w:val="18"/>
              </w:rPr>
              <w:t>%</w:t>
            </w:r>
            <w:r w:rsidRPr="000A76A7">
              <w:rPr>
                <w:rFonts w:cs="Arial"/>
                <w:sz w:val="18"/>
                <w:szCs w:val="18"/>
              </w:rPr>
              <w:br/>
            </w:r>
            <w:r>
              <w:rPr>
                <w:rFonts w:cs="Arial"/>
                <w:sz w:val="18"/>
                <w:szCs w:val="18"/>
              </w:rPr>
              <w:t>2.62</w:t>
            </w:r>
            <w:r w:rsidRPr="000A76A7">
              <w:rPr>
                <w:rFonts w:cs="Arial"/>
                <w:sz w:val="18"/>
                <w:szCs w:val="18"/>
              </w:rPr>
              <w:t>%</w:t>
            </w:r>
            <w:r w:rsidRPr="000A76A7">
              <w:rPr>
                <w:rFonts w:cs="Arial"/>
                <w:sz w:val="18"/>
                <w:szCs w:val="18"/>
              </w:rPr>
              <w:br/>
            </w:r>
            <w:r>
              <w:rPr>
                <w:rFonts w:cs="Arial"/>
                <w:sz w:val="18"/>
                <w:szCs w:val="18"/>
              </w:rPr>
              <w:t>2.62</w:t>
            </w:r>
            <w:r w:rsidRPr="000A76A7">
              <w:rPr>
                <w:rFonts w:cs="Arial"/>
                <w:sz w:val="18"/>
                <w:szCs w:val="18"/>
              </w:rPr>
              <w:t>%</w:t>
            </w:r>
            <w:r w:rsidRPr="000A76A7">
              <w:rPr>
                <w:rFonts w:cs="Arial"/>
                <w:sz w:val="18"/>
                <w:szCs w:val="18"/>
              </w:rPr>
              <w:br/>
            </w:r>
            <w:r>
              <w:rPr>
                <w:rFonts w:cs="Arial"/>
                <w:sz w:val="18"/>
                <w:szCs w:val="18"/>
              </w:rPr>
              <w:t>2.62</w:t>
            </w:r>
            <w:r w:rsidRPr="000A76A7">
              <w:rPr>
                <w:rFonts w:cs="Arial"/>
                <w:sz w:val="18"/>
                <w:szCs w:val="18"/>
              </w:rPr>
              <w:t>%</w:t>
            </w:r>
            <w:r w:rsidRPr="000A76A7">
              <w:rPr>
                <w:rFonts w:cs="Arial"/>
                <w:sz w:val="18"/>
                <w:szCs w:val="18"/>
              </w:rPr>
              <w:br/>
            </w:r>
            <w:r>
              <w:rPr>
                <w:rFonts w:cs="Arial"/>
                <w:sz w:val="18"/>
                <w:szCs w:val="18"/>
              </w:rPr>
              <w:t>2.62</w:t>
            </w:r>
            <w:r w:rsidRPr="000A76A7">
              <w:rPr>
                <w:rFonts w:cs="Arial"/>
                <w:sz w:val="18"/>
                <w:szCs w:val="18"/>
              </w:rPr>
              <w:t>%</w:t>
            </w:r>
          </w:p>
        </w:tc>
        <w:tc>
          <w:tcPr>
            <w:tcW w:w="680" w:type="pct"/>
            <w:shd w:val="clear" w:color="auto" w:fill="FFFFFF" w:themeFill="background1"/>
            <w:tcMar>
              <w:top w:w="43" w:type="dxa"/>
              <w:left w:w="115" w:type="dxa"/>
              <w:bottom w:w="43" w:type="dxa"/>
              <w:right w:w="115" w:type="dxa"/>
            </w:tcMar>
          </w:tcPr>
          <w:p w14:paraId="6AADB7D1" w14:textId="191B2F9E" w:rsidR="00516AF4" w:rsidRPr="000A76A7" w:rsidRDefault="00516AF4" w:rsidP="00635DAD">
            <w:pPr>
              <w:spacing w:line="264" w:lineRule="auto"/>
              <w:jc w:val="center"/>
              <w:rPr>
                <w:rFonts w:cs="Arial"/>
                <w:sz w:val="18"/>
                <w:szCs w:val="18"/>
              </w:rPr>
            </w:pPr>
            <w:r w:rsidRPr="000A76A7">
              <w:rPr>
                <w:rFonts w:cs="Arial"/>
                <w:sz w:val="18"/>
                <w:szCs w:val="18"/>
              </w:rPr>
              <w:br/>
            </w:r>
            <w:r>
              <w:rPr>
                <w:rFonts w:cs="Arial"/>
                <w:sz w:val="18"/>
                <w:szCs w:val="18"/>
              </w:rPr>
              <w:t>3.50</w:t>
            </w:r>
            <w:r w:rsidRPr="000A76A7">
              <w:rPr>
                <w:rFonts w:cs="Arial"/>
                <w:sz w:val="18"/>
                <w:szCs w:val="18"/>
              </w:rPr>
              <w:t>%</w:t>
            </w:r>
            <w:r w:rsidRPr="000A76A7">
              <w:rPr>
                <w:rFonts w:cs="Arial"/>
                <w:sz w:val="18"/>
                <w:szCs w:val="18"/>
              </w:rPr>
              <w:br/>
            </w:r>
            <w:r>
              <w:rPr>
                <w:rFonts w:cs="Arial"/>
                <w:sz w:val="18"/>
                <w:szCs w:val="18"/>
              </w:rPr>
              <w:t>3.75</w:t>
            </w:r>
            <w:r w:rsidRPr="000A76A7">
              <w:rPr>
                <w:rFonts w:cs="Arial"/>
                <w:sz w:val="18"/>
                <w:szCs w:val="18"/>
              </w:rPr>
              <w:t>%</w:t>
            </w:r>
            <w:r w:rsidRPr="000A76A7">
              <w:rPr>
                <w:rFonts w:cs="Arial"/>
                <w:sz w:val="18"/>
                <w:szCs w:val="18"/>
              </w:rPr>
              <w:br/>
            </w:r>
            <w:r>
              <w:rPr>
                <w:rFonts w:cs="Arial"/>
                <w:sz w:val="18"/>
                <w:szCs w:val="18"/>
              </w:rPr>
              <w:t>2.65</w:t>
            </w:r>
            <w:r w:rsidRPr="000A76A7">
              <w:rPr>
                <w:rFonts w:cs="Arial"/>
                <w:sz w:val="18"/>
                <w:szCs w:val="18"/>
              </w:rPr>
              <w:t>%</w:t>
            </w:r>
            <w:r w:rsidRPr="000A76A7">
              <w:rPr>
                <w:rFonts w:cs="Arial"/>
                <w:sz w:val="18"/>
                <w:szCs w:val="18"/>
              </w:rPr>
              <w:br/>
            </w:r>
            <w:r>
              <w:rPr>
                <w:rFonts w:cs="Arial"/>
                <w:sz w:val="18"/>
                <w:szCs w:val="18"/>
              </w:rPr>
              <w:t>2.65</w:t>
            </w:r>
            <w:r w:rsidRPr="000A76A7">
              <w:rPr>
                <w:rFonts w:cs="Arial"/>
                <w:sz w:val="18"/>
                <w:szCs w:val="18"/>
              </w:rPr>
              <w:t>%</w:t>
            </w:r>
            <w:r w:rsidRPr="000A76A7">
              <w:rPr>
                <w:rFonts w:cs="Arial"/>
                <w:sz w:val="18"/>
                <w:szCs w:val="18"/>
              </w:rPr>
              <w:br/>
            </w:r>
            <w:r>
              <w:rPr>
                <w:rFonts w:cs="Arial"/>
                <w:sz w:val="18"/>
                <w:szCs w:val="18"/>
              </w:rPr>
              <w:t>2.65</w:t>
            </w:r>
            <w:r w:rsidRPr="000A76A7">
              <w:rPr>
                <w:rFonts w:cs="Arial"/>
                <w:sz w:val="18"/>
                <w:szCs w:val="18"/>
              </w:rPr>
              <w:t>%</w:t>
            </w:r>
            <w:r w:rsidRPr="000A76A7">
              <w:rPr>
                <w:rFonts w:cs="Arial"/>
                <w:sz w:val="18"/>
                <w:szCs w:val="18"/>
              </w:rPr>
              <w:br/>
            </w:r>
            <w:r>
              <w:rPr>
                <w:rFonts w:cs="Arial"/>
                <w:sz w:val="18"/>
                <w:szCs w:val="18"/>
              </w:rPr>
              <w:t>2.65</w:t>
            </w:r>
            <w:r w:rsidRPr="000A76A7">
              <w:rPr>
                <w:rFonts w:cs="Arial"/>
                <w:sz w:val="18"/>
                <w:szCs w:val="18"/>
              </w:rPr>
              <w:t>%</w:t>
            </w:r>
            <w:r w:rsidRPr="000A76A7">
              <w:rPr>
                <w:rFonts w:cs="Arial"/>
                <w:sz w:val="18"/>
                <w:szCs w:val="18"/>
              </w:rPr>
              <w:br/>
            </w:r>
            <w:r>
              <w:rPr>
                <w:rFonts w:cs="Arial"/>
                <w:sz w:val="18"/>
                <w:szCs w:val="18"/>
              </w:rPr>
              <w:t>2.65</w:t>
            </w:r>
            <w:r w:rsidRPr="000A76A7">
              <w:rPr>
                <w:rFonts w:cs="Arial"/>
                <w:sz w:val="18"/>
                <w:szCs w:val="18"/>
              </w:rPr>
              <w:t>%</w:t>
            </w:r>
            <w:r w:rsidRPr="000A76A7">
              <w:rPr>
                <w:rFonts w:cs="Arial"/>
                <w:sz w:val="18"/>
                <w:szCs w:val="18"/>
              </w:rPr>
              <w:br/>
            </w:r>
            <w:r>
              <w:rPr>
                <w:rFonts w:cs="Arial"/>
                <w:sz w:val="18"/>
                <w:szCs w:val="18"/>
              </w:rPr>
              <w:t>2.65</w:t>
            </w:r>
            <w:r w:rsidRPr="000A76A7">
              <w:rPr>
                <w:rFonts w:cs="Arial"/>
                <w:sz w:val="18"/>
                <w:szCs w:val="18"/>
              </w:rPr>
              <w:t>%</w:t>
            </w:r>
          </w:p>
        </w:tc>
        <w:tc>
          <w:tcPr>
            <w:tcW w:w="581" w:type="pct"/>
            <w:shd w:val="clear" w:color="auto" w:fill="FFFFFF" w:themeFill="background1"/>
            <w:tcMar>
              <w:top w:w="43" w:type="dxa"/>
              <w:left w:w="115" w:type="dxa"/>
              <w:bottom w:w="43" w:type="dxa"/>
              <w:right w:w="115" w:type="dxa"/>
            </w:tcMar>
            <w:vAlign w:val="center"/>
          </w:tcPr>
          <w:p w14:paraId="13BCAF7E" w14:textId="6510331A" w:rsidR="00516AF4" w:rsidRPr="000A76A7" w:rsidRDefault="00516AF4" w:rsidP="00635DAD">
            <w:pPr>
              <w:spacing w:line="264" w:lineRule="auto"/>
              <w:jc w:val="center"/>
              <w:rPr>
                <w:rFonts w:cs="Arial"/>
                <w:sz w:val="18"/>
                <w:szCs w:val="18"/>
              </w:rPr>
            </w:pPr>
            <w:r w:rsidRPr="000A76A7">
              <w:rPr>
                <w:rFonts w:cs="Arial"/>
                <w:sz w:val="18"/>
                <w:szCs w:val="18"/>
              </w:rPr>
              <w:t>$500</w:t>
            </w:r>
          </w:p>
        </w:tc>
        <w:tc>
          <w:tcPr>
            <w:tcW w:w="515" w:type="pct"/>
            <w:shd w:val="clear" w:color="auto" w:fill="FFFFFF" w:themeFill="background1"/>
            <w:tcMar>
              <w:top w:w="43" w:type="dxa"/>
              <w:left w:w="115" w:type="dxa"/>
              <w:bottom w:w="43" w:type="dxa"/>
              <w:right w:w="115" w:type="dxa"/>
            </w:tcMar>
            <w:vAlign w:val="center"/>
          </w:tcPr>
          <w:p w14:paraId="321133F4" w14:textId="5174F100" w:rsidR="00516AF4" w:rsidRPr="000A76A7" w:rsidRDefault="009A01B6" w:rsidP="00635DAD">
            <w:pPr>
              <w:spacing w:line="264" w:lineRule="auto"/>
              <w:jc w:val="center"/>
              <w:rPr>
                <w:rFonts w:cs="Arial"/>
                <w:sz w:val="18"/>
                <w:szCs w:val="18"/>
              </w:rPr>
            </w:pPr>
            <w:r>
              <w:rPr>
                <w:rFonts w:cs="Arial"/>
                <w:sz w:val="18"/>
                <w:szCs w:val="18"/>
              </w:rPr>
              <w:t>$500</w:t>
            </w:r>
          </w:p>
        </w:tc>
        <w:tc>
          <w:tcPr>
            <w:tcW w:w="613" w:type="pct"/>
            <w:shd w:val="clear" w:color="auto" w:fill="FFFFFF" w:themeFill="background1"/>
            <w:tcMar>
              <w:top w:w="43" w:type="dxa"/>
              <w:left w:w="115" w:type="dxa"/>
              <w:bottom w:w="43" w:type="dxa"/>
              <w:right w:w="115" w:type="dxa"/>
            </w:tcMar>
            <w:vAlign w:val="center"/>
          </w:tcPr>
          <w:p w14:paraId="5902F84C" w14:textId="11CAF523" w:rsidR="00516AF4" w:rsidRPr="000A76A7" w:rsidRDefault="00516AF4" w:rsidP="00635DAD">
            <w:pPr>
              <w:spacing w:line="264" w:lineRule="auto"/>
              <w:jc w:val="center"/>
              <w:rPr>
                <w:rFonts w:cs="Arial"/>
                <w:sz w:val="18"/>
                <w:szCs w:val="18"/>
              </w:rPr>
            </w:pPr>
            <w:r w:rsidRPr="000A76A7">
              <w:rPr>
                <w:rFonts w:cs="Arial"/>
                <w:sz w:val="18"/>
                <w:szCs w:val="18"/>
              </w:rPr>
              <w:t>Monthly</w:t>
            </w:r>
          </w:p>
        </w:tc>
        <w:tc>
          <w:tcPr>
            <w:tcW w:w="445" w:type="pct"/>
            <w:shd w:val="clear" w:color="auto" w:fill="FFFFFF" w:themeFill="background1"/>
            <w:tcMar>
              <w:top w:w="43" w:type="dxa"/>
              <w:left w:w="115" w:type="dxa"/>
              <w:bottom w:w="43" w:type="dxa"/>
              <w:right w:w="115" w:type="dxa"/>
            </w:tcMar>
            <w:vAlign w:val="center"/>
          </w:tcPr>
          <w:p w14:paraId="61FC6196" w14:textId="77777777" w:rsidR="00516AF4" w:rsidRPr="000A76A7" w:rsidRDefault="00516AF4" w:rsidP="00635DAD">
            <w:pPr>
              <w:spacing w:line="264" w:lineRule="auto"/>
              <w:jc w:val="center"/>
              <w:rPr>
                <w:rFonts w:cs="Arial"/>
                <w:sz w:val="18"/>
                <w:szCs w:val="18"/>
              </w:rPr>
            </w:pPr>
            <w:r w:rsidRPr="000A76A7">
              <w:rPr>
                <w:rFonts w:cs="Arial"/>
                <w:sz w:val="18"/>
                <w:szCs w:val="18"/>
              </w:rPr>
              <w:t>Monthly</w:t>
            </w:r>
          </w:p>
        </w:tc>
      </w:tr>
      <w:tr w:rsidR="00CD5D79" w:rsidRPr="000A76A7" w14:paraId="3D1CC3EA" w14:textId="77777777" w:rsidTr="002150A6">
        <w:tblPrEx>
          <w:tblCellMar>
            <w:top w:w="115" w:type="dxa"/>
            <w:bottom w:w="86" w:type="dxa"/>
          </w:tblCellMar>
        </w:tblPrEx>
        <w:trPr>
          <w:trHeight w:val="144"/>
        </w:trPr>
        <w:tc>
          <w:tcPr>
            <w:tcW w:w="1625" w:type="pct"/>
            <w:shd w:val="clear" w:color="auto" w:fill="D9E2F3" w:themeFill="accent1" w:themeFillTint="33"/>
            <w:tcMar>
              <w:top w:w="43" w:type="dxa"/>
              <w:left w:w="115" w:type="dxa"/>
              <w:bottom w:w="43" w:type="dxa"/>
              <w:right w:w="115" w:type="dxa"/>
            </w:tcMar>
          </w:tcPr>
          <w:p w14:paraId="469A89DF" w14:textId="796A1355" w:rsidR="00516AF4" w:rsidRPr="00635DAD" w:rsidRDefault="00516AF4" w:rsidP="000B20FE">
            <w:pPr>
              <w:tabs>
                <w:tab w:val="left" w:pos="360"/>
              </w:tabs>
              <w:spacing w:line="264" w:lineRule="auto"/>
              <w:ind w:left="216" w:hanging="216"/>
              <w:rPr>
                <w:rFonts w:cs="Arial"/>
                <w:b/>
                <w:bCs/>
                <w:sz w:val="18"/>
                <w:szCs w:val="18"/>
              </w:rPr>
            </w:pPr>
          </w:p>
        </w:tc>
        <w:tc>
          <w:tcPr>
            <w:tcW w:w="541" w:type="pct"/>
            <w:shd w:val="clear" w:color="auto" w:fill="D9E2F3" w:themeFill="accent1" w:themeFillTint="33"/>
            <w:tcMar>
              <w:top w:w="43" w:type="dxa"/>
              <w:left w:w="115" w:type="dxa"/>
              <w:bottom w:w="43" w:type="dxa"/>
              <w:right w:w="115" w:type="dxa"/>
            </w:tcMar>
            <w:vAlign w:val="center"/>
          </w:tcPr>
          <w:p w14:paraId="31A81BFC" w14:textId="61ADAF62" w:rsidR="00516AF4" w:rsidRPr="00635DAD" w:rsidRDefault="00516AF4" w:rsidP="00635DAD">
            <w:pPr>
              <w:spacing w:line="264" w:lineRule="auto"/>
              <w:jc w:val="center"/>
              <w:rPr>
                <w:rFonts w:cs="Arial"/>
                <w:sz w:val="18"/>
                <w:szCs w:val="18"/>
              </w:rPr>
            </w:pPr>
          </w:p>
        </w:tc>
        <w:tc>
          <w:tcPr>
            <w:tcW w:w="680" w:type="pct"/>
            <w:shd w:val="clear" w:color="auto" w:fill="D9E2F3" w:themeFill="accent1" w:themeFillTint="33"/>
            <w:tcMar>
              <w:top w:w="43" w:type="dxa"/>
              <w:left w:w="115" w:type="dxa"/>
              <w:bottom w:w="43" w:type="dxa"/>
              <w:right w:w="115" w:type="dxa"/>
            </w:tcMar>
            <w:vAlign w:val="center"/>
          </w:tcPr>
          <w:p w14:paraId="19466293" w14:textId="5F2E37B7" w:rsidR="00516AF4" w:rsidRPr="00635DAD" w:rsidRDefault="00516AF4" w:rsidP="00635DAD">
            <w:pPr>
              <w:spacing w:line="264" w:lineRule="auto"/>
              <w:jc w:val="center"/>
              <w:rPr>
                <w:rFonts w:cs="Arial"/>
                <w:sz w:val="18"/>
                <w:szCs w:val="18"/>
              </w:rPr>
            </w:pPr>
          </w:p>
        </w:tc>
        <w:tc>
          <w:tcPr>
            <w:tcW w:w="581" w:type="pct"/>
            <w:shd w:val="clear" w:color="auto" w:fill="D9E2F3" w:themeFill="accent1" w:themeFillTint="33"/>
            <w:tcMar>
              <w:top w:w="43" w:type="dxa"/>
              <w:left w:w="115" w:type="dxa"/>
              <w:bottom w:w="43" w:type="dxa"/>
              <w:right w:w="115" w:type="dxa"/>
            </w:tcMar>
            <w:vAlign w:val="center"/>
          </w:tcPr>
          <w:p w14:paraId="3C405494" w14:textId="0B1C3DA7" w:rsidR="00516AF4" w:rsidRPr="00635DAD" w:rsidRDefault="00516AF4" w:rsidP="00635DAD">
            <w:pPr>
              <w:spacing w:line="264" w:lineRule="auto"/>
              <w:jc w:val="center"/>
              <w:rPr>
                <w:rFonts w:cs="Arial"/>
                <w:sz w:val="18"/>
                <w:szCs w:val="18"/>
              </w:rPr>
            </w:pPr>
          </w:p>
        </w:tc>
        <w:tc>
          <w:tcPr>
            <w:tcW w:w="515" w:type="pct"/>
            <w:shd w:val="clear" w:color="auto" w:fill="D9E2F3" w:themeFill="accent1" w:themeFillTint="33"/>
            <w:tcMar>
              <w:top w:w="43" w:type="dxa"/>
              <w:left w:w="115" w:type="dxa"/>
              <w:bottom w:w="43" w:type="dxa"/>
              <w:right w:w="115" w:type="dxa"/>
            </w:tcMar>
            <w:vAlign w:val="center"/>
          </w:tcPr>
          <w:p w14:paraId="0AF98DEE" w14:textId="5575DECC" w:rsidR="00516AF4" w:rsidRPr="00635DAD" w:rsidRDefault="00516AF4" w:rsidP="00635DAD">
            <w:pPr>
              <w:spacing w:line="264" w:lineRule="auto"/>
              <w:jc w:val="center"/>
              <w:rPr>
                <w:rFonts w:cs="Arial"/>
                <w:sz w:val="18"/>
                <w:szCs w:val="18"/>
              </w:rPr>
            </w:pPr>
          </w:p>
        </w:tc>
        <w:tc>
          <w:tcPr>
            <w:tcW w:w="613" w:type="pct"/>
            <w:shd w:val="clear" w:color="auto" w:fill="D9E2F3" w:themeFill="accent1" w:themeFillTint="33"/>
            <w:tcMar>
              <w:top w:w="43" w:type="dxa"/>
              <w:left w:w="115" w:type="dxa"/>
              <w:bottom w:w="43" w:type="dxa"/>
              <w:right w:w="115" w:type="dxa"/>
            </w:tcMar>
            <w:vAlign w:val="center"/>
          </w:tcPr>
          <w:p w14:paraId="22C6A6F9" w14:textId="25F11B9E" w:rsidR="00516AF4" w:rsidRPr="00635DAD" w:rsidRDefault="00516AF4" w:rsidP="00635DAD">
            <w:pPr>
              <w:spacing w:line="264" w:lineRule="auto"/>
              <w:jc w:val="center"/>
              <w:rPr>
                <w:rFonts w:cs="Arial"/>
                <w:sz w:val="18"/>
                <w:szCs w:val="18"/>
              </w:rPr>
            </w:pPr>
          </w:p>
        </w:tc>
        <w:tc>
          <w:tcPr>
            <w:tcW w:w="445" w:type="pct"/>
            <w:shd w:val="clear" w:color="auto" w:fill="D9E2F3" w:themeFill="accent1" w:themeFillTint="33"/>
            <w:tcMar>
              <w:top w:w="43" w:type="dxa"/>
              <w:left w:w="115" w:type="dxa"/>
              <w:bottom w:w="43" w:type="dxa"/>
              <w:right w:w="115" w:type="dxa"/>
            </w:tcMar>
            <w:vAlign w:val="center"/>
          </w:tcPr>
          <w:p w14:paraId="3A006B2F" w14:textId="2DBD3845" w:rsidR="00516AF4" w:rsidRPr="00635DAD" w:rsidRDefault="00516AF4" w:rsidP="00635DAD">
            <w:pPr>
              <w:spacing w:line="264" w:lineRule="auto"/>
              <w:jc w:val="center"/>
              <w:rPr>
                <w:rFonts w:cs="Arial"/>
                <w:sz w:val="18"/>
                <w:szCs w:val="18"/>
              </w:rPr>
            </w:pPr>
          </w:p>
        </w:tc>
      </w:tr>
      <w:tr w:rsidR="00CD5D79" w:rsidRPr="000A76A7" w14:paraId="77581208" w14:textId="77777777" w:rsidTr="002150A6">
        <w:tblPrEx>
          <w:tblCellMar>
            <w:top w:w="115" w:type="dxa"/>
            <w:bottom w:w="86" w:type="dxa"/>
          </w:tblCellMar>
        </w:tblPrEx>
        <w:trPr>
          <w:trHeight w:val="144"/>
        </w:trPr>
        <w:tc>
          <w:tcPr>
            <w:tcW w:w="1625" w:type="pct"/>
            <w:shd w:val="clear" w:color="auto" w:fill="FFFFFF" w:themeFill="background1"/>
            <w:tcMar>
              <w:top w:w="43" w:type="dxa"/>
              <w:left w:w="115" w:type="dxa"/>
              <w:bottom w:w="43" w:type="dxa"/>
              <w:right w:w="115" w:type="dxa"/>
            </w:tcMar>
          </w:tcPr>
          <w:p w14:paraId="305D0803" w14:textId="5A5DAA1B" w:rsidR="00516AF4" w:rsidRPr="000A76A7" w:rsidRDefault="00516AF4" w:rsidP="000B20FE">
            <w:pPr>
              <w:tabs>
                <w:tab w:val="left" w:pos="360"/>
              </w:tabs>
              <w:spacing w:line="264" w:lineRule="auto"/>
              <w:ind w:left="216" w:hanging="216"/>
              <w:rPr>
                <w:rFonts w:cs="Arial"/>
                <w:b/>
                <w:sz w:val="18"/>
                <w:szCs w:val="18"/>
              </w:rPr>
            </w:pPr>
            <w:r>
              <w:rPr>
                <w:rFonts w:cs="Arial"/>
                <w:b/>
                <w:sz w:val="18"/>
                <w:szCs w:val="18"/>
              </w:rPr>
              <w:t>Christmas, Vacation &amp; Teacher Club</w:t>
            </w:r>
          </w:p>
        </w:tc>
        <w:tc>
          <w:tcPr>
            <w:tcW w:w="541" w:type="pct"/>
            <w:shd w:val="clear" w:color="auto" w:fill="FFFFFF" w:themeFill="background1"/>
            <w:tcMar>
              <w:top w:w="43" w:type="dxa"/>
              <w:left w:w="115" w:type="dxa"/>
              <w:bottom w:w="43" w:type="dxa"/>
              <w:right w:w="115" w:type="dxa"/>
            </w:tcMar>
            <w:vAlign w:val="center"/>
          </w:tcPr>
          <w:p w14:paraId="7C091D8C" w14:textId="6EEC1707" w:rsidR="00516AF4" w:rsidRPr="000A76A7" w:rsidRDefault="00516AF4" w:rsidP="00635DAD">
            <w:pPr>
              <w:spacing w:line="264" w:lineRule="auto"/>
              <w:jc w:val="center"/>
              <w:rPr>
                <w:rFonts w:cs="Arial"/>
                <w:sz w:val="18"/>
                <w:szCs w:val="18"/>
              </w:rPr>
            </w:pPr>
            <w:r w:rsidRPr="000A76A7">
              <w:rPr>
                <w:rFonts w:cs="Arial"/>
                <w:sz w:val="18"/>
                <w:szCs w:val="18"/>
              </w:rPr>
              <w:t>0.</w:t>
            </w:r>
            <w:r>
              <w:rPr>
                <w:rFonts w:cs="Arial"/>
                <w:sz w:val="18"/>
                <w:szCs w:val="18"/>
              </w:rPr>
              <w:t>1</w:t>
            </w:r>
            <w:r w:rsidRPr="000A76A7">
              <w:rPr>
                <w:rFonts w:cs="Arial"/>
                <w:sz w:val="18"/>
                <w:szCs w:val="18"/>
              </w:rPr>
              <w:t>5%</w:t>
            </w:r>
          </w:p>
        </w:tc>
        <w:tc>
          <w:tcPr>
            <w:tcW w:w="680" w:type="pct"/>
            <w:shd w:val="clear" w:color="auto" w:fill="FFFFFF" w:themeFill="background1"/>
            <w:tcMar>
              <w:top w:w="43" w:type="dxa"/>
              <w:left w:w="115" w:type="dxa"/>
              <w:bottom w:w="43" w:type="dxa"/>
              <w:right w:w="115" w:type="dxa"/>
            </w:tcMar>
            <w:vAlign w:val="center"/>
          </w:tcPr>
          <w:p w14:paraId="04BF887D" w14:textId="753111CE" w:rsidR="00516AF4" w:rsidRPr="000A76A7" w:rsidRDefault="00516AF4" w:rsidP="00635DAD">
            <w:pPr>
              <w:spacing w:line="264" w:lineRule="auto"/>
              <w:jc w:val="center"/>
              <w:rPr>
                <w:rFonts w:cs="Arial"/>
                <w:sz w:val="18"/>
                <w:szCs w:val="18"/>
              </w:rPr>
            </w:pPr>
            <w:r w:rsidRPr="000A76A7">
              <w:rPr>
                <w:rFonts w:cs="Arial"/>
                <w:sz w:val="18"/>
                <w:szCs w:val="18"/>
              </w:rPr>
              <w:t>0</w:t>
            </w:r>
            <w:r>
              <w:rPr>
                <w:rFonts w:cs="Arial"/>
                <w:sz w:val="18"/>
                <w:szCs w:val="18"/>
              </w:rPr>
              <w:t>.15</w:t>
            </w:r>
            <w:r w:rsidRPr="000A76A7">
              <w:rPr>
                <w:rFonts w:cs="Arial"/>
                <w:sz w:val="18"/>
                <w:szCs w:val="18"/>
              </w:rPr>
              <w:t>%</w:t>
            </w:r>
          </w:p>
        </w:tc>
        <w:tc>
          <w:tcPr>
            <w:tcW w:w="581" w:type="pct"/>
            <w:shd w:val="clear" w:color="auto" w:fill="FFFFFF" w:themeFill="background1"/>
            <w:tcMar>
              <w:top w:w="43" w:type="dxa"/>
              <w:left w:w="115" w:type="dxa"/>
              <w:bottom w:w="43" w:type="dxa"/>
              <w:right w:w="115" w:type="dxa"/>
            </w:tcMar>
            <w:vAlign w:val="center"/>
          </w:tcPr>
          <w:p w14:paraId="42E3C401" w14:textId="54EE8C47" w:rsidR="00516AF4" w:rsidRPr="000A76A7" w:rsidRDefault="009A01B6" w:rsidP="00635DAD">
            <w:pPr>
              <w:spacing w:line="264" w:lineRule="auto"/>
              <w:jc w:val="center"/>
              <w:rPr>
                <w:rFonts w:cs="Arial"/>
                <w:sz w:val="18"/>
                <w:szCs w:val="18"/>
              </w:rPr>
            </w:pPr>
            <w:r>
              <w:rPr>
                <w:rFonts w:cs="Arial"/>
                <w:sz w:val="18"/>
                <w:szCs w:val="18"/>
              </w:rPr>
              <w:t>n/a</w:t>
            </w:r>
          </w:p>
        </w:tc>
        <w:tc>
          <w:tcPr>
            <w:tcW w:w="515" w:type="pct"/>
            <w:shd w:val="clear" w:color="auto" w:fill="FFFFFF" w:themeFill="background1"/>
            <w:tcMar>
              <w:top w:w="43" w:type="dxa"/>
              <w:left w:w="115" w:type="dxa"/>
              <w:bottom w:w="43" w:type="dxa"/>
              <w:right w:w="115" w:type="dxa"/>
            </w:tcMar>
            <w:vAlign w:val="center"/>
          </w:tcPr>
          <w:p w14:paraId="36E334BA" w14:textId="5633B058" w:rsidR="00516AF4" w:rsidRPr="000A76A7" w:rsidRDefault="00516AF4" w:rsidP="00635DAD">
            <w:pPr>
              <w:spacing w:line="264" w:lineRule="auto"/>
              <w:jc w:val="center"/>
              <w:rPr>
                <w:rFonts w:cs="Arial"/>
                <w:sz w:val="18"/>
                <w:szCs w:val="18"/>
              </w:rPr>
            </w:pPr>
            <w:r w:rsidRPr="000A76A7">
              <w:rPr>
                <w:rFonts w:cs="Arial"/>
                <w:sz w:val="18"/>
                <w:szCs w:val="18"/>
              </w:rPr>
              <w:t>$100</w:t>
            </w:r>
          </w:p>
        </w:tc>
        <w:tc>
          <w:tcPr>
            <w:tcW w:w="613" w:type="pct"/>
            <w:shd w:val="clear" w:color="auto" w:fill="FFFFFF" w:themeFill="background1"/>
            <w:tcMar>
              <w:top w:w="43" w:type="dxa"/>
              <w:left w:w="115" w:type="dxa"/>
              <w:bottom w:w="43" w:type="dxa"/>
              <w:right w:w="115" w:type="dxa"/>
            </w:tcMar>
            <w:vAlign w:val="center"/>
          </w:tcPr>
          <w:p w14:paraId="456A9FA8" w14:textId="26EA6C13" w:rsidR="00516AF4" w:rsidRPr="000A76A7" w:rsidRDefault="00516AF4" w:rsidP="00635DAD">
            <w:pPr>
              <w:spacing w:line="264" w:lineRule="auto"/>
              <w:jc w:val="center"/>
              <w:rPr>
                <w:rFonts w:cs="Arial"/>
                <w:sz w:val="18"/>
                <w:szCs w:val="18"/>
              </w:rPr>
            </w:pPr>
            <w:r w:rsidRPr="000A76A7">
              <w:rPr>
                <w:rFonts w:cs="Arial"/>
                <w:sz w:val="18"/>
                <w:szCs w:val="18"/>
              </w:rPr>
              <w:t>Monthly</w:t>
            </w:r>
          </w:p>
        </w:tc>
        <w:tc>
          <w:tcPr>
            <w:tcW w:w="445" w:type="pct"/>
            <w:shd w:val="clear" w:color="auto" w:fill="FFFFFF" w:themeFill="background1"/>
            <w:tcMar>
              <w:top w:w="43" w:type="dxa"/>
              <w:left w:w="115" w:type="dxa"/>
              <w:bottom w:w="43" w:type="dxa"/>
              <w:right w:w="115" w:type="dxa"/>
            </w:tcMar>
            <w:vAlign w:val="center"/>
          </w:tcPr>
          <w:p w14:paraId="267BD2F0" w14:textId="77777777" w:rsidR="00516AF4" w:rsidRPr="000A76A7" w:rsidRDefault="00516AF4" w:rsidP="00635DAD">
            <w:pPr>
              <w:spacing w:line="264" w:lineRule="auto"/>
              <w:jc w:val="center"/>
              <w:rPr>
                <w:rFonts w:cs="Arial"/>
                <w:sz w:val="18"/>
                <w:szCs w:val="18"/>
              </w:rPr>
            </w:pPr>
            <w:r w:rsidRPr="000A76A7">
              <w:rPr>
                <w:rFonts w:cs="Arial"/>
                <w:sz w:val="18"/>
                <w:szCs w:val="18"/>
              </w:rPr>
              <w:t>Monthly</w:t>
            </w:r>
          </w:p>
        </w:tc>
      </w:tr>
      <w:tr w:rsidR="00CD5D79" w:rsidRPr="000A76A7" w14:paraId="1C4E7466" w14:textId="77777777" w:rsidTr="002150A6">
        <w:tblPrEx>
          <w:tblCellMar>
            <w:top w:w="115" w:type="dxa"/>
            <w:bottom w:w="86" w:type="dxa"/>
          </w:tblCellMar>
        </w:tblPrEx>
        <w:trPr>
          <w:trHeight w:val="115"/>
        </w:trPr>
        <w:tc>
          <w:tcPr>
            <w:tcW w:w="1625" w:type="pct"/>
            <w:shd w:val="clear" w:color="auto" w:fill="D9E2F3" w:themeFill="accent1" w:themeFillTint="33"/>
            <w:tcMar>
              <w:top w:w="43" w:type="dxa"/>
              <w:left w:w="115" w:type="dxa"/>
              <w:bottom w:w="43" w:type="dxa"/>
              <w:right w:w="115" w:type="dxa"/>
            </w:tcMar>
          </w:tcPr>
          <w:p w14:paraId="08B8BCBD" w14:textId="77777777" w:rsidR="00516AF4" w:rsidRPr="000A76A7" w:rsidRDefault="00516AF4" w:rsidP="000B20FE">
            <w:pPr>
              <w:tabs>
                <w:tab w:val="left" w:pos="360"/>
              </w:tabs>
              <w:spacing w:line="264" w:lineRule="auto"/>
              <w:ind w:left="216" w:hanging="216"/>
              <w:rPr>
                <w:rFonts w:cs="Arial"/>
                <w:sz w:val="18"/>
                <w:szCs w:val="18"/>
              </w:rPr>
            </w:pPr>
            <w:r w:rsidRPr="000A76A7">
              <w:rPr>
                <w:rFonts w:cs="Arial"/>
                <w:b/>
                <w:sz w:val="18"/>
                <w:szCs w:val="18"/>
              </w:rPr>
              <w:t>Save-a-Saurus Account</w:t>
            </w:r>
          </w:p>
        </w:tc>
        <w:tc>
          <w:tcPr>
            <w:tcW w:w="541" w:type="pct"/>
            <w:shd w:val="clear" w:color="auto" w:fill="D9E2F3" w:themeFill="accent1" w:themeFillTint="33"/>
            <w:tcMar>
              <w:top w:w="43" w:type="dxa"/>
              <w:left w:w="115" w:type="dxa"/>
              <w:bottom w:w="43" w:type="dxa"/>
              <w:right w:w="115" w:type="dxa"/>
            </w:tcMar>
            <w:vAlign w:val="center"/>
          </w:tcPr>
          <w:p w14:paraId="322D4DA4" w14:textId="0B2657D0" w:rsidR="00516AF4" w:rsidRPr="007B22BA" w:rsidRDefault="00516AF4" w:rsidP="00635DAD">
            <w:pPr>
              <w:spacing w:line="264" w:lineRule="auto"/>
              <w:jc w:val="center"/>
              <w:rPr>
                <w:rFonts w:cs="Arial"/>
                <w:sz w:val="18"/>
                <w:szCs w:val="18"/>
              </w:rPr>
            </w:pPr>
            <w:r w:rsidRPr="007B22BA">
              <w:rPr>
                <w:rFonts w:cs="Arial"/>
                <w:sz w:val="18"/>
                <w:szCs w:val="18"/>
              </w:rPr>
              <w:t>0.</w:t>
            </w:r>
            <w:r w:rsidR="00BF5BB9" w:rsidRPr="007B22BA">
              <w:rPr>
                <w:rFonts w:cs="Arial"/>
                <w:sz w:val="18"/>
                <w:szCs w:val="18"/>
              </w:rPr>
              <w:t>1</w:t>
            </w:r>
            <w:r w:rsidRPr="007B22BA">
              <w:rPr>
                <w:rFonts w:cs="Arial"/>
                <w:sz w:val="18"/>
                <w:szCs w:val="18"/>
              </w:rPr>
              <w:t>5%</w:t>
            </w:r>
          </w:p>
        </w:tc>
        <w:tc>
          <w:tcPr>
            <w:tcW w:w="680" w:type="pct"/>
            <w:shd w:val="clear" w:color="auto" w:fill="D9E2F3" w:themeFill="accent1" w:themeFillTint="33"/>
            <w:tcMar>
              <w:top w:w="43" w:type="dxa"/>
              <w:left w:w="115" w:type="dxa"/>
              <w:bottom w:w="43" w:type="dxa"/>
              <w:right w:w="115" w:type="dxa"/>
            </w:tcMar>
            <w:vAlign w:val="center"/>
          </w:tcPr>
          <w:p w14:paraId="0F086226" w14:textId="2EF756D8" w:rsidR="00516AF4" w:rsidRPr="007B22BA" w:rsidRDefault="00516AF4" w:rsidP="00635DAD">
            <w:pPr>
              <w:spacing w:line="264" w:lineRule="auto"/>
              <w:jc w:val="center"/>
              <w:rPr>
                <w:rFonts w:cs="Arial"/>
                <w:sz w:val="18"/>
                <w:szCs w:val="18"/>
              </w:rPr>
            </w:pPr>
            <w:r w:rsidRPr="007B22BA">
              <w:rPr>
                <w:rFonts w:cs="Arial"/>
                <w:sz w:val="18"/>
                <w:szCs w:val="18"/>
              </w:rPr>
              <w:t>0.</w:t>
            </w:r>
            <w:r w:rsidR="00BF5BB9" w:rsidRPr="007B22BA">
              <w:rPr>
                <w:rFonts w:cs="Arial"/>
                <w:sz w:val="18"/>
                <w:szCs w:val="18"/>
              </w:rPr>
              <w:t>1</w:t>
            </w:r>
            <w:r w:rsidRPr="007B22BA">
              <w:rPr>
                <w:rFonts w:cs="Arial"/>
                <w:sz w:val="18"/>
                <w:szCs w:val="18"/>
              </w:rPr>
              <w:t>5%</w:t>
            </w:r>
          </w:p>
        </w:tc>
        <w:tc>
          <w:tcPr>
            <w:tcW w:w="581" w:type="pct"/>
            <w:shd w:val="clear" w:color="auto" w:fill="D9E2F3" w:themeFill="accent1" w:themeFillTint="33"/>
            <w:tcMar>
              <w:top w:w="43" w:type="dxa"/>
              <w:left w:w="115" w:type="dxa"/>
              <w:bottom w:w="43" w:type="dxa"/>
              <w:right w:w="115" w:type="dxa"/>
            </w:tcMar>
            <w:vAlign w:val="center"/>
          </w:tcPr>
          <w:p w14:paraId="4FAA0FEA" w14:textId="751654B8" w:rsidR="00516AF4" w:rsidRPr="000A76A7" w:rsidRDefault="00516AF4" w:rsidP="00635DAD">
            <w:pPr>
              <w:spacing w:line="264" w:lineRule="auto"/>
              <w:jc w:val="center"/>
              <w:rPr>
                <w:rFonts w:cs="Arial"/>
                <w:sz w:val="18"/>
                <w:szCs w:val="18"/>
              </w:rPr>
            </w:pPr>
            <w:r>
              <w:rPr>
                <w:rFonts w:cs="Arial"/>
                <w:sz w:val="18"/>
                <w:szCs w:val="18"/>
              </w:rPr>
              <w:t>$25</w:t>
            </w:r>
          </w:p>
        </w:tc>
        <w:tc>
          <w:tcPr>
            <w:tcW w:w="515" w:type="pct"/>
            <w:shd w:val="clear" w:color="auto" w:fill="D9E2F3" w:themeFill="accent1" w:themeFillTint="33"/>
            <w:tcMar>
              <w:top w:w="43" w:type="dxa"/>
              <w:left w:w="115" w:type="dxa"/>
              <w:bottom w:w="43" w:type="dxa"/>
              <w:right w:w="115" w:type="dxa"/>
            </w:tcMar>
            <w:vAlign w:val="center"/>
          </w:tcPr>
          <w:p w14:paraId="4A31621E" w14:textId="77777777" w:rsidR="00516AF4" w:rsidRPr="000A76A7" w:rsidRDefault="00516AF4" w:rsidP="00635DAD">
            <w:pPr>
              <w:spacing w:line="264" w:lineRule="auto"/>
              <w:jc w:val="center"/>
              <w:rPr>
                <w:rFonts w:cs="Arial"/>
                <w:sz w:val="18"/>
                <w:szCs w:val="18"/>
              </w:rPr>
            </w:pPr>
            <w:r w:rsidRPr="000A76A7">
              <w:rPr>
                <w:rFonts w:cs="Arial"/>
                <w:sz w:val="18"/>
                <w:szCs w:val="18"/>
              </w:rPr>
              <w:t>$25</w:t>
            </w:r>
          </w:p>
        </w:tc>
        <w:tc>
          <w:tcPr>
            <w:tcW w:w="613" w:type="pct"/>
            <w:shd w:val="clear" w:color="auto" w:fill="D9E2F3" w:themeFill="accent1" w:themeFillTint="33"/>
            <w:tcMar>
              <w:top w:w="43" w:type="dxa"/>
              <w:left w:w="115" w:type="dxa"/>
              <w:bottom w:w="43" w:type="dxa"/>
              <w:right w:w="115" w:type="dxa"/>
            </w:tcMar>
            <w:vAlign w:val="center"/>
          </w:tcPr>
          <w:p w14:paraId="638DF821" w14:textId="76D1CF2D" w:rsidR="00516AF4" w:rsidRPr="000A76A7" w:rsidRDefault="00516AF4" w:rsidP="00635DAD">
            <w:pPr>
              <w:spacing w:line="264" w:lineRule="auto"/>
              <w:jc w:val="center"/>
              <w:rPr>
                <w:rFonts w:cs="Arial"/>
                <w:sz w:val="18"/>
                <w:szCs w:val="18"/>
              </w:rPr>
            </w:pPr>
            <w:r w:rsidRPr="000A76A7">
              <w:rPr>
                <w:rFonts w:cs="Arial"/>
                <w:sz w:val="18"/>
                <w:szCs w:val="18"/>
              </w:rPr>
              <w:t>Monthly</w:t>
            </w:r>
          </w:p>
        </w:tc>
        <w:tc>
          <w:tcPr>
            <w:tcW w:w="445" w:type="pct"/>
            <w:shd w:val="clear" w:color="auto" w:fill="D9E2F3" w:themeFill="accent1" w:themeFillTint="33"/>
            <w:tcMar>
              <w:top w:w="43" w:type="dxa"/>
              <w:left w:w="115" w:type="dxa"/>
              <w:bottom w:w="43" w:type="dxa"/>
              <w:right w:w="115" w:type="dxa"/>
            </w:tcMar>
            <w:vAlign w:val="center"/>
          </w:tcPr>
          <w:p w14:paraId="58750505" w14:textId="77777777" w:rsidR="00516AF4" w:rsidRPr="000A76A7" w:rsidRDefault="00516AF4" w:rsidP="00635DAD">
            <w:pPr>
              <w:spacing w:line="264" w:lineRule="auto"/>
              <w:jc w:val="center"/>
              <w:rPr>
                <w:rFonts w:cs="Arial"/>
                <w:sz w:val="18"/>
                <w:szCs w:val="18"/>
              </w:rPr>
            </w:pPr>
            <w:r w:rsidRPr="000A76A7">
              <w:rPr>
                <w:rFonts w:cs="Arial"/>
                <w:sz w:val="18"/>
                <w:szCs w:val="18"/>
              </w:rPr>
              <w:t>Monthly</w:t>
            </w:r>
          </w:p>
        </w:tc>
      </w:tr>
      <w:tr w:rsidR="00CD5D79" w:rsidRPr="000A76A7" w14:paraId="30EE49F3" w14:textId="77777777" w:rsidTr="002150A6">
        <w:tblPrEx>
          <w:tblCellMar>
            <w:top w:w="115" w:type="dxa"/>
            <w:bottom w:w="86" w:type="dxa"/>
          </w:tblCellMar>
        </w:tblPrEx>
        <w:trPr>
          <w:trHeight w:val="115"/>
        </w:trPr>
        <w:tc>
          <w:tcPr>
            <w:tcW w:w="1625" w:type="pct"/>
            <w:shd w:val="clear" w:color="auto" w:fill="FFFFFF" w:themeFill="background1"/>
            <w:tcMar>
              <w:top w:w="43" w:type="dxa"/>
              <w:left w:w="115" w:type="dxa"/>
              <w:bottom w:w="43" w:type="dxa"/>
              <w:right w:w="115" w:type="dxa"/>
            </w:tcMar>
          </w:tcPr>
          <w:p w14:paraId="08D42FE5" w14:textId="77777777" w:rsidR="00516AF4" w:rsidRPr="000A76A7" w:rsidRDefault="00516AF4" w:rsidP="000B20FE">
            <w:pPr>
              <w:tabs>
                <w:tab w:val="left" w:pos="360"/>
              </w:tabs>
              <w:spacing w:line="264" w:lineRule="auto"/>
              <w:ind w:left="216" w:hanging="216"/>
              <w:rPr>
                <w:rFonts w:cs="Arial"/>
                <w:sz w:val="18"/>
                <w:szCs w:val="18"/>
              </w:rPr>
            </w:pPr>
            <w:r w:rsidRPr="000A76A7">
              <w:rPr>
                <w:rFonts w:cs="Arial"/>
                <w:b/>
                <w:sz w:val="18"/>
                <w:szCs w:val="18"/>
              </w:rPr>
              <w:t>Health Savings Account</w:t>
            </w:r>
          </w:p>
        </w:tc>
        <w:tc>
          <w:tcPr>
            <w:tcW w:w="541" w:type="pct"/>
            <w:shd w:val="clear" w:color="auto" w:fill="FFFFFF" w:themeFill="background1"/>
            <w:tcMar>
              <w:top w:w="43" w:type="dxa"/>
              <w:left w:w="115" w:type="dxa"/>
              <w:bottom w:w="43" w:type="dxa"/>
              <w:right w:w="115" w:type="dxa"/>
            </w:tcMar>
            <w:vAlign w:val="center"/>
          </w:tcPr>
          <w:p w14:paraId="4F3E1891" w14:textId="765C3891" w:rsidR="00516AF4" w:rsidRPr="007B22BA" w:rsidRDefault="00516AF4" w:rsidP="00635DAD">
            <w:pPr>
              <w:spacing w:line="264" w:lineRule="auto"/>
              <w:jc w:val="center"/>
              <w:rPr>
                <w:rFonts w:cs="Arial"/>
                <w:sz w:val="18"/>
                <w:szCs w:val="18"/>
              </w:rPr>
            </w:pPr>
            <w:r w:rsidRPr="007B22BA">
              <w:rPr>
                <w:rFonts w:cs="Arial"/>
                <w:sz w:val="18"/>
                <w:szCs w:val="18"/>
              </w:rPr>
              <w:t>0.</w:t>
            </w:r>
            <w:r w:rsidR="00BF5BB9" w:rsidRPr="007B22BA">
              <w:rPr>
                <w:rFonts w:cs="Arial"/>
                <w:sz w:val="18"/>
                <w:szCs w:val="18"/>
              </w:rPr>
              <w:t>1</w:t>
            </w:r>
            <w:r w:rsidRPr="007B22BA">
              <w:rPr>
                <w:rFonts w:cs="Arial"/>
                <w:sz w:val="18"/>
                <w:szCs w:val="18"/>
              </w:rPr>
              <w:t>5%</w:t>
            </w:r>
          </w:p>
        </w:tc>
        <w:tc>
          <w:tcPr>
            <w:tcW w:w="680" w:type="pct"/>
            <w:shd w:val="clear" w:color="auto" w:fill="FFFFFF" w:themeFill="background1"/>
            <w:tcMar>
              <w:top w:w="43" w:type="dxa"/>
              <w:left w:w="115" w:type="dxa"/>
              <w:bottom w:w="43" w:type="dxa"/>
              <w:right w:w="115" w:type="dxa"/>
            </w:tcMar>
            <w:vAlign w:val="center"/>
          </w:tcPr>
          <w:p w14:paraId="1C414B3E" w14:textId="557B06E3" w:rsidR="00516AF4" w:rsidRPr="007B22BA" w:rsidRDefault="00516AF4" w:rsidP="00635DAD">
            <w:pPr>
              <w:spacing w:line="264" w:lineRule="auto"/>
              <w:jc w:val="center"/>
              <w:rPr>
                <w:rFonts w:cs="Arial"/>
                <w:sz w:val="18"/>
                <w:szCs w:val="18"/>
              </w:rPr>
            </w:pPr>
            <w:r w:rsidRPr="007B22BA">
              <w:rPr>
                <w:rFonts w:cs="Arial"/>
                <w:sz w:val="18"/>
                <w:szCs w:val="18"/>
              </w:rPr>
              <w:t>0.</w:t>
            </w:r>
            <w:r w:rsidR="00BF5BB9" w:rsidRPr="007B22BA">
              <w:rPr>
                <w:rFonts w:cs="Arial"/>
                <w:sz w:val="18"/>
                <w:szCs w:val="18"/>
              </w:rPr>
              <w:t>1</w:t>
            </w:r>
            <w:r w:rsidRPr="007B22BA">
              <w:rPr>
                <w:rFonts w:cs="Arial"/>
                <w:sz w:val="18"/>
                <w:szCs w:val="18"/>
              </w:rPr>
              <w:t>5%</w:t>
            </w:r>
          </w:p>
        </w:tc>
        <w:tc>
          <w:tcPr>
            <w:tcW w:w="581" w:type="pct"/>
            <w:shd w:val="clear" w:color="auto" w:fill="FFFFFF" w:themeFill="background1"/>
            <w:tcMar>
              <w:top w:w="43" w:type="dxa"/>
              <w:left w:w="115" w:type="dxa"/>
              <w:bottom w:w="43" w:type="dxa"/>
              <w:right w:w="115" w:type="dxa"/>
            </w:tcMar>
            <w:vAlign w:val="center"/>
          </w:tcPr>
          <w:p w14:paraId="0FF057D4" w14:textId="579730CD" w:rsidR="00516AF4" w:rsidRPr="000A76A7" w:rsidRDefault="009A01B6" w:rsidP="00635DAD">
            <w:pPr>
              <w:spacing w:line="264" w:lineRule="auto"/>
              <w:jc w:val="center"/>
              <w:rPr>
                <w:rFonts w:cs="Arial"/>
                <w:sz w:val="18"/>
                <w:szCs w:val="18"/>
              </w:rPr>
            </w:pPr>
            <w:r>
              <w:rPr>
                <w:rFonts w:cs="Arial"/>
                <w:sz w:val="18"/>
                <w:szCs w:val="18"/>
              </w:rPr>
              <w:t>n/a</w:t>
            </w:r>
          </w:p>
        </w:tc>
        <w:tc>
          <w:tcPr>
            <w:tcW w:w="515" w:type="pct"/>
            <w:shd w:val="clear" w:color="auto" w:fill="FFFFFF" w:themeFill="background1"/>
            <w:tcMar>
              <w:top w:w="43" w:type="dxa"/>
              <w:left w:w="115" w:type="dxa"/>
              <w:bottom w:w="43" w:type="dxa"/>
              <w:right w:w="115" w:type="dxa"/>
            </w:tcMar>
            <w:vAlign w:val="center"/>
          </w:tcPr>
          <w:p w14:paraId="12660C60" w14:textId="77777777" w:rsidR="00516AF4" w:rsidRPr="000A76A7" w:rsidRDefault="00516AF4" w:rsidP="00635DAD">
            <w:pPr>
              <w:spacing w:line="264" w:lineRule="auto"/>
              <w:jc w:val="center"/>
              <w:rPr>
                <w:rFonts w:cs="Arial"/>
                <w:sz w:val="18"/>
                <w:szCs w:val="18"/>
              </w:rPr>
            </w:pPr>
            <w:r w:rsidRPr="000A76A7">
              <w:rPr>
                <w:rFonts w:cs="Arial"/>
                <w:sz w:val="18"/>
                <w:szCs w:val="18"/>
              </w:rPr>
              <w:t>$5</w:t>
            </w:r>
          </w:p>
        </w:tc>
        <w:tc>
          <w:tcPr>
            <w:tcW w:w="613" w:type="pct"/>
            <w:shd w:val="clear" w:color="auto" w:fill="FFFFFF" w:themeFill="background1"/>
            <w:tcMar>
              <w:top w:w="43" w:type="dxa"/>
              <w:left w:w="115" w:type="dxa"/>
              <w:bottom w:w="43" w:type="dxa"/>
              <w:right w:w="115" w:type="dxa"/>
            </w:tcMar>
            <w:vAlign w:val="center"/>
          </w:tcPr>
          <w:p w14:paraId="6FF586BB" w14:textId="012D3EAE" w:rsidR="00516AF4" w:rsidRPr="000A76A7" w:rsidRDefault="00516AF4" w:rsidP="00635DAD">
            <w:pPr>
              <w:spacing w:line="264" w:lineRule="auto"/>
              <w:jc w:val="center"/>
              <w:rPr>
                <w:rFonts w:cs="Arial"/>
                <w:sz w:val="18"/>
                <w:szCs w:val="18"/>
              </w:rPr>
            </w:pPr>
            <w:r w:rsidRPr="000A76A7">
              <w:rPr>
                <w:rFonts w:cs="Arial"/>
                <w:sz w:val="18"/>
                <w:szCs w:val="18"/>
              </w:rPr>
              <w:t>Monthly</w:t>
            </w:r>
          </w:p>
        </w:tc>
        <w:tc>
          <w:tcPr>
            <w:tcW w:w="445" w:type="pct"/>
            <w:shd w:val="clear" w:color="auto" w:fill="FFFFFF" w:themeFill="background1"/>
            <w:tcMar>
              <w:top w:w="43" w:type="dxa"/>
              <w:left w:w="115" w:type="dxa"/>
              <w:bottom w:w="43" w:type="dxa"/>
              <w:right w:w="115" w:type="dxa"/>
            </w:tcMar>
            <w:vAlign w:val="center"/>
          </w:tcPr>
          <w:p w14:paraId="393E9531" w14:textId="77777777" w:rsidR="00516AF4" w:rsidRPr="000A76A7" w:rsidRDefault="00516AF4" w:rsidP="00635DAD">
            <w:pPr>
              <w:spacing w:line="264" w:lineRule="auto"/>
              <w:jc w:val="center"/>
              <w:rPr>
                <w:rFonts w:cs="Arial"/>
                <w:sz w:val="18"/>
                <w:szCs w:val="18"/>
              </w:rPr>
            </w:pPr>
            <w:r w:rsidRPr="000A76A7">
              <w:rPr>
                <w:rFonts w:cs="Arial"/>
                <w:sz w:val="18"/>
                <w:szCs w:val="18"/>
              </w:rPr>
              <w:t>Monthly</w:t>
            </w:r>
          </w:p>
        </w:tc>
      </w:tr>
      <w:tr w:rsidR="00E61F53" w:rsidRPr="000A76A7" w14:paraId="2AE084A7" w14:textId="77777777" w:rsidTr="002150A6">
        <w:tblPrEx>
          <w:tblCellMar>
            <w:top w:w="115" w:type="dxa"/>
            <w:bottom w:w="86" w:type="dxa"/>
          </w:tblCellMar>
        </w:tblPrEx>
        <w:trPr>
          <w:trHeight w:val="202"/>
        </w:trPr>
        <w:tc>
          <w:tcPr>
            <w:tcW w:w="5000" w:type="pct"/>
            <w:gridSpan w:val="7"/>
            <w:tcBorders>
              <w:bottom w:val="single" w:sz="4" w:space="0" w:color="000000"/>
            </w:tcBorders>
            <w:shd w:val="clear" w:color="auto" w:fill="BFBFBF" w:themeFill="background1" w:themeFillShade="BF"/>
            <w:tcMar>
              <w:top w:w="43" w:type="dxa"/>
              <w:left w:w="115" w:type="dxa"/>
              <w:bottom w:w="43" w:type="dxa"/>
              <w:right w:w="115" w:type="dxa"/>
            </w:tcMar>
            <w:vAlign w:val="bottom"/>
          </w:tcPr>
          <w:p w14:paraId="5EC446E4" w14:textId="25BAEBAD" w:rsidR="00E61F53" w:rsidRPr="00E61F53" w:rsidRDefault="00E61F53" w:rsidP="00635DAD">
            <w:pPr>
              <w:pStyle w:val="CU-05RFcentered"/>
              <w:spacing w:line="264" w:lineRule="auto"/>
              <w:rPr>
                <w:b/>
                <w:bCs/>
              </w:rPr>
            </w:pPr>
            <w:r w:rsidRPr="00E61F53">
              <w:rPr>
                <w:b/>
                <w:bCs/>
              </w:rPr>
              <w:lastRenderedPageBreak/>
              <w:t>BUSINESS ACCOUNTS</w:t>
            </w:r>
          </w:p>
        </w:tc>
      </w:tr>
      <w:tr w:rsidR="00CD5D79" w:rsidRPr="000A76A7" w14:paraId="4A9E089F" w14:textId="77777777" w:rsidTr="002150A6">
        <w:tblPrEx>
          <w:tblCellMar>
            <w:top w:w="115" w:type="dxa"/>
            <w:bottom w:w="86" w:type="dxa"/>
          </w:tblCellMar>
        </w:tblPrEx>
        <w:trPr>
          <w:trHeight w:val="1165"/>
        </w:trPr>
        <w:tc>
          <w:tcPr>
            <w:tcW w:w="1625" w:type="pct"/>
            <w:tcBorders>
              <w:bottom w:val="single" w:sz="4" w:space="0" w:color="000000"/>
            </w:tcBorders>
            <w:shd w:val="clear" w:color="auto" w:fill="auto"/>
            <w:tcMar>
              <w:top w:w="43" w:type="dxa"/>
              <w:left w:w="115" w:type="dxa"/>
              <w:bottom w:w="43" w:type="dxa"/>
              <w:right w:w="115" w:type="dxa"/>
            </w:tcMar>
            <w:vAlign w:val="bottom"/>
          </w:tcPr>
          <w:p w14:paraId="1E458653" w14:textId="5653C578" w:rsidR="00516AF4" w:rsidRPr="000A76A7" w:rsidRDefault="00516AF4" w:rsidP="00635DAD">
            <w:pPr>
              <w:pStyle w:val="CU-08RFleft-justifiedcopy"/>
              <w:spacing w:before="0" w:line="264" w:lineRule="auto"/>
              <w:rPr>
                <w:b/>
              </w:rPr>
            </w:pPr>
            <w:r>
              <w:rPr>
                <w:b/>
              </w:rPr>
              <w:t>Regular Shares</w:t>
            </w:r>
            <w:r w:rsidRPr="000A76A7">
              <w:rPr>
                <w:b/>
              </w:rPr>
              <w:br/>
            </w:r>
            <w:r w:rsidRPr="000A76A7">
              <w:t>$0.00 - $15,000.00</w:t>
            </w:r>
            <w:r w:rsidRPr="000A76A7">
              <w:br/>
              <w:t>$15,000.01 - $50,000.00</w:t>
            </w:r>
            <w:r w:rsidRPr="000A76A7">
              <w:br/>
              <w:t>$50,000.01 - $100,000.00</w:t>
            </w:r>
            <w:r w:rsidRPr="000A76A7">
              <w:br/>
              <w:t xml:space="preserve">$100,000.01 and greater </w:t>
            </w:r>
          </w:p>
        </w:tc>
        <w:tc>
          <w:tcPr>
            <w:tcW w:w="541" w:type="pct"/>
            <w:tcBorders>
              <w:bottom w:val="single" w:sz="4" w:space="0" w:color="000000"/>
            </w:tcBorders>
            <w:shd w:val="clear" w:color="auto" w:fill="auto"/>
            <w:tcMar>
              <w:top w:w="43" w:type="dxa"/>
              <w:left w:w="115" w:type="dxa"/>
              <w:bottom w:w="43" w:type="dxa"/>
              <w:right w:w="115" w:type="dxa"/>
            </w:tcMar>
            <w:vAlign w:val="bottom"/>
          </w:tcPr>
          <w:p w14:paraId="6C3EEB67" w14:textId="77777777" w:rsidR="00516AF4" w:rsidRPr="000A76A7" w:rsidRDefault="00516AF4" w:rsidP="00635DAD">
            <w:pPr>
              <w:pStyle w:val="CU-05RFcentered"/>
              <w:spacing w:line="264" w:lineRule="auto"/>
            </w:pPr>
            <w:r w:rsidRPr="000A76A7">
              <w:t>0.</w:t>
            </w:r>
            <w:r>
              <w:t>15</w:t>
            </w:r>
            <w:r w:rsidRPr="000A76A7">
              <w:t>%</w:t>
            </w:r>
            <w:r w:rsidRPr="000A76A7">
              <w:br/>
              <w:t>0.</w:t>
            </w:r>
            <w:r>
              <w:t>15</w:t>
            </w:r>
            <w:r w:rsidRPr="000A76A7">
              <w:t>%</w:t>
            </w:r>
            <w:r w:rsidRPr="000A76A7">
              <w:br/>
              <w:t>0.</w:t>
            </w:r>
            <w:r>
              <w:t>20</w:t>
            </w:r>
            <w:r w:rsidRPr="000A76A7">
              <w:t>%</w:t>
            </w:r>
            <w:r w:rsidRPr="000A76A7">
              <w:br/>
              <w:t>0.</w:t>
            </w:r>
            <w:r>
              <w:t>20</w:t>
            </w:r>
            <w:r w:rsidRPr="000A76A7">
              <w:t>%</w:t>
            </w:r>
          </w:p>
        </w:tc>
        <w:tc>
          <w:tcPr>
            <w:tcW w:w="680" w:type="pct"/>
            <w:tcBorders>
              <w:bottom w:val="single" w:sz="4" w:space="0" w:color="000000"/>
            </w:tcBorders>
            <w:shd w:val="clear" w:color="auto" w:fill="auto"/>
            <w:tcMar>
              <w:top w:w="43" w:type="dxa"/>
              <w:left w:w="115" w:type="dxa"/>
              <w:bottom w:w="43" w:type="dxa"/>
              <w:right w:w="115" w:type="dxa"/>
            </w:tcMar>
            <w:vAlign w:val="bottom"/>
          </w:tcPr>
          <w:p w14:paraId="44D9B2AC" w14:textId="77777777" w:rsidR="00516AF4" w:rsidRPr="000A76A7" w:rsidRDefault="00516AF4" w:rsidP="00635DAD">
            <w:pPr>
              <w:pStyle w:val="CU-05RFcentered"/>
              <w:spacing w:line="264" w:lineRule="auto"/>
            </w:pPr>
            <w:r w:rsidRPr="000A76A7">
              <w:t>0.</w:t>
            </w:r>
            <w:r>
              <w:t>15</w:t>
            </w:r>
            <w:r w:rsidRPr="000A76A7">
              <w:t>%</w:t>
            </w:r>
            <w:r w:rsidRPr="000A76A7">
              <w:br/>
              <w:t>0.</w:t>
            </w:r>
            <w:r>
              <w:t>15</w:t>
            </w:r>
            <w:r w:rsidRPr="000A76A7">
              <w:t>%</w:t>
            </w:r>
            <w:r w:rsidRPr="000A76A7">
              <w:br/>
              <w:t>0.</w:t>
            </w:r>
            <w:r>
              <w:t>20</w:t>
            </w:r>
            <w:r w:rsidRPr="000A76A7">
              <w:t>%</w:t>
            </w:r>
            <w:r w:rsidRPr="000A76A7">
              <w:br/>
              <w:t>0.</w:t>
            </w:r>
            <w:r>
              <w:t>20</w:t>
            </w:r>
            <w:r w:rsidRPr="000A76A7">
              <w:t>%</w:t>
            </w:r>
          </w:p>
        </w:tc>
        <w:tc>
          <w:tcPr>
            <w:tcW w:w="581" w:type="pct"/>
            <w:tcBorders>
              <w:bottom w:val="single" w:sz="4" w:space="0" w:color="000000"/>
            </w:tcBorders>
            <w:shd w:val="clear" w:color="auto" w:fill="auto"/>
            <w:tcMar>
              <w:top w:w="43" w:type="dxa"/>
              <w:left w:w="115" w:type="dxa"/>
              <w:bottom w:w="43" w:type="dxa"/>
              <w:right w:w="115" w:type="dxa"/>
            </w:tcMar>
            <w:vAlign w:val="center"/>
          </w:tcPr>
          <w:p w14:paraId="6EA84BD2" w14:textId="4C686E0F" w:rsidR="00516AF4" w:rsidRPr="000A76A7" w:rsidRDefault="007B22BA" w:rsidP="00635DAD">
            <w:pPr>
              <w:spacing w:line="264" w:lineRule="auto"/>
              <w:jc w:val="center"/>
              <w:rPr>
                <w:rFonts w:cs="Arial"/>
                <w:sz w:val="18"/>
                <w:szCs w:val="18"/>
              </w:rPr>
            </w:pPr>
            <w:r>
              <w:rPr>
                <w:rFonts w:cs="Arial"/>
                <w:sz w:val="18"/>
                <w:szCs w:val="18"/>
              </w:rPr>
              <w:t>$25.00</w:t>
            </w:r>
          </w:p>
        </w:tc>
        <w:tc>
          <w:tcPr>
            <w:tcW w:w="515" w:type="pct"/>
            <w:tcBorders>
              <w:bottom w:val="single" w:sz="4" w:space="0" w:color="000000"/>
            </w:tcBorders>
            <w:shd w:val="clear" w:color="auto" w:fill="auto"/>
            <w:tcMar>
              <w:top w:w="43" w:type="dxa"/>
              <w:left w:w="115" w:type="dxa"/>
              <w:bottom w:w="43" w:type="dxa"/>
              <w:right w:w="115" w:type="dxa"/>
            </w:tcMar>
            <w:vAlign w:val="center"/>
          </w:tcPr>
          <w:p w14:paraId="4971A13D" w14:textId="5154A8F0" w:rsidR="00516AF4" w:rsidRPr="000A76A7" w:rsidRDefault="007B22BA" w:rsidP="00635DAD">
            <w:pPr>
              <w:spacing w:line="264" w:lineRule="auto"/>
              <w:jc w:val="center"/>
              <w:rPr>
                <w:rFonts w:cs="Arial"/>
                <w:sz w:val="18"/>
                <w:szCs w:val="18"/>
              </w:rPr>
            </w:pPr>
            <w:r>
              <w:rPr>
                <w:rFonts w:cs="Arial"/>
                <w:sz w:val="18"/>
                <w:szCs w:val="18"/>
              </w:rPr>
              <w:t>n/a</w:t>
            </w:r>
          </w:p>
        </w:tc>
        <w:tc>
          <w:tcPr>
            <w:tcW w:w="613" w:type="pct"/>
            <w:tcBorders>
              <w:bottom w:val="single" w:sz="4" w:space="0" w:color="000000"/>
            </w:tcBorders>
            <w:shd w:val="clear" w:color="auto" w:fill="auto"/>
            <w:tcMar>
              <w:top w:w="43" w:type="dxa"/>
              <w:left w:w="115" w:type="dxa"/>
              <w:bottom w:w="43" w:type="dxa"/>
              <w:right w:w="115" w:type="dxa"/>
            </w:tcMar>
            <w:vAlign w:val="center"/>
          </w:tcPr>
          <w:p w14:paraId="27437502" w14:textId="396D6130" w:rsidR="00516AF4" w:rsidRPr="000A76A7" w:rsidRDefault="00516AF4" w:rsidP="00635DAD">
            <w:pPr>
              <w:pStyle w:val="CU-05RFcentered"/>
              <w:spacing w:line="264" w:lineRule="auto"/>
            </w:pPr>
            <w:r w:rsidRPr="000A76A7">
              <w:t>Monthly</w:t>
            </w:r>
          </w:p>
        </w:tc>
        <w:tc>
          <w:tcPr>
            <w:tcW w:w="445" w:type="pct"/>
            <w:tcBorders>
              <w:bottom w:val="single" w:sz="4" w:space="0" w:color="000000"/>
            </w:tcBorders>
            <w:shd w:val="clear" w:color="auto" w:fill="auto"/>
            <w:tcMar>
              <w:top w:w="43" w:type="dxa"/>
              <w:left w:w="115" w:type="dxa"/>
              <w:bottom w:w="43" w:type="dxa"/>
              <w:right w:w="115" w:type="dxa"/>
            </w:tcMar>
            <w:vAlign w:val="center"/>
          </w:tcPr>
          <w:p w14:paraId="61EC8B04" w14:textId="77777777" w:rsidR="00516AF4" w:rsidRPr="000A76A7" w:rsidRDefault="00516AF4" w:rsidP="00635DAD">
            <w:pPr>
              <w:pStyle w:val="CU-05RFcentered"/>
              <w:spacing w:line="264" w:lineRule="auto"/>
            </w:pPr>
            <w:r w:rsidRPr="000A76A7">
              <w:t>Monthly</w:t>
            </w:r>
          </w:p>
        </w:tc>
      </w:tr>
      <w:tr w:rsidR="00CD5D79" w:rsidRPr="000A76A7" w14:paraId="54A81FE8" w14:textId="77777777" w:rsidTr="002150A6">
        <w:tblPrEx>
          <w:tblCellMar>
            <w:top w:w="115" w:type="dxa"/>
            <w:bottom w:w="86" w:type="dxa"/>
          </w:tblCellMar>
        </w:tblPrEx>
        <w:trPr>
          <w:trHeight w:val="1165"/>
        </w:trPr>
        <w:tc>
          <w:tcPr>
            <w:tcW w:w="1625" w:type="pct"/>
            <w:tcBorders>
              <w:top w:val="single" w:sz="4" w:space="0" w:color="000000"/>
              <w:bottom w:val="single" w:sz="4" w:space="0" w:color="000000"/>
              <w:right w:val="single" w:sz="4" w:space="0" w:color="000000"/>
            </w:tcBorders>
            <w:shd w:val="clear" w:color="auto" w:fill="D9E2F3" w:themeFill="accent1" w:themeFillTint="33"/>
            <w:tcMar>
              <w:top w:w="43" w:type="dxa"/>
              <w:left w:w="115" w:type="dxa"/>
              <w:bottom w:w="43" w:type="dxa"/>
              <w:right w:w="115" w:type="dxa"/>
            </w:tcMar>
          </w:tcPr>
          <w:p w14:paraId="6244DA97" w14:textId="5C0C7F8D" w:rsidR="00516AF4" w:rsidRPr="000A76A7" w:rsidRDefault="00516AF4" w:rsidP="003D5EA6">
            <w:pPr>
              <w:pStyle w:val="CU-08RFleft-justifiedcopy"/>
              <w:spacing w:before="0" w:line="264" w:lineRule="auto"/>
              <w:rPr>
                <w:b/>
              </w:rPr>
            </w:pPr>
            <w:r>
              <w:rPr>
                <w:b/>
              </w:rPr>
              <w:t>Business Advantage Checking</w:t>
            </w:r>
            <w:r w:rsidRPr="000A76A7">
              <w:rPr>
                <w:b/>
              </w:rPr>
              <w:br/>
            </w:r>
            <w:r w:rsidRPr="00635DAD">
              <w:rPr>
                <w:bCs/>
              </w:rPr>
              <w:t>$0.00 - $</w:t>
            </w:r>
            <w:r>
              <w:rPr>
                <w:bCs/>
              </w:rPr>
              <w:t>50</w:t>
            </w:r>
            <w:r w:rsidRPr="00635DAD">
              <w:rPr>
                <w:bCs/>
              </w:rPr>
              <w:t>,000.00</w:t>
            </w:r>
            <w:r w:rsidRPr="00635DAD">
              <w:rPr>
                <w:bCs/>
              </w:rPr>
              <w:br/>
              <w:t>$50,000.01 - $100,000.00</w:t>
            </w:r>
            <w:r w:rsidRPr="00635DAD">
              <w:rPr>
                <w:bCs/>
              </w:rPr>
              <w:br/>
              <w:t xml:space="preserve">$100,000.01 </w:t>
            </w:r>
            <w:r>
              <w:rPr>
                <w:bCs/>
              </w:rPr>
              <w:t>- $250,000.00</w:t>
            </w:r>
            <w:r>
              <w:rPr>
                <w:bCs/>
              </w:rPr>
              <w:br/>
            </w:r>
            <w:r w:rsidRPr="003D5EA6">
              <w:t>$250,000.0</w:t>
            </w:r>
            <w:r>
              <w:t>1</w:t>
            </w:r>
            <w:r w:rsidRPr="003D5EA6">
              <w:t xml:space="preserve"> and greater</w:t>
            </w:r>
            <w:r w:rsidRPr="00635DAD">
              <w:rPr>
                <w:b/>
              </w:rPr>
              <w:t xml:space="preserve"> </w:t>
            </w:r>
          </w:p>
        </w:tc>
        <w:tc>
          <w:tcPr>
            <w:tcW w:w="541" w:type="pct"/>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43" w:type="dxa"/>
              <w:left w:w="115" w:type="dxa"/>
              <w:bottom w:w="43" w:type="dxa"/>
              <w:right w:w="115" w:type="dxa"/>
            </w:tcMar>
          </w:tcPr>
          <w:p w14:paraId="0682BD2F" w14:textId="27BAB29E" w:rsidR="00516AF4" w:rsidRPr="007B22BA" w:rsidRDefault="00516AF4" w:rsidP="003D5EA6">
            <w:pPr>
              <w:pStyle w:val="CU-05RFcentered"/>
              <w:spacing w:line="264" w:lineRule="auto"/>
            </w:pPr>
            <w:r w:rsidRPr="007B22BA">
              <w:br/>
              <w:t>0.</w:t>
            </w:r>
            <w:r w:rsidR="00BF5BB9" w:rsidRPr="007B22BA">
              <w:t>00</w:t>
            </w:r>
            <w:r w:rsidRPr="007B22BA">
              <w:t>%</w:t>
            </w:r>
            <w:r w:rsidRPr="007B22BA">
              <w:br/>
              <w:t>0.</w:t>
            </w:r>
            <w:r w:rsidR="00BF5BB9" w:rsidRPr="007B22BA">
              <w:t>05</w:t>
            </w:r>
            <w:r w:rsidRPr="007B22BA">
              <w:t>%</w:t>
            </w:r>
            <w:r w:rsidRPr="007B22BA">
              <w:br/>
              <w:t>0.</w:t>
            </w:r>
            <w:r w:rsidR="00BF5BB9" w:rsidRPr="007B22BA">
              <w:t>10</w:t>
            </w:r>
            <w:r w:rsidRPr="007B22BA">
              <w:t>%</w:t>
            </w:r>
            <w:r w:rsidRPr="007B22BA">
              <w:br/>
              <w:t>0.</w:t>
            </w:r>
            <w:r w:rsidR="00BF5BB9" w:rsidRPr="007B22BA">
              <w:t>15</w:t>
            </w:r>
            <w:r w:rsidRPr="007B22BA">
              <w:t>%</w:t>
            </w:r>
          </w:p>
        </w:tc>
        <w:tc>
          <w:tcPr>
            <w:tcW w:w="680" w:type="pct"/>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43" w:type="dxa"/>
              <w:left w:w="115" w:type="dxa"/>
              <w:bottom w:w="43" w:type="dxa"/>
              <w:right w:w="115" w:type="dxa"/>
            </w:tcMar>
          </w:tcPr>
          <w:p w14:paraId="60A05DE2" w14:textId="2442C304" w:rsidR="00516AF4" w:rsidRPr="007B22BA" w:rsidRDefault="00516AF4" w:rsidP="003D5EA6">
            <w:pPr>
              <w:pStyle w:val="CU-05RFcentered"/>
              <w:spacing w:line="264" w:lineRule="auto"/>
            </w:pPr>
            <w:r w:rsidRPr="007B22BA">
              <w:br/>
              <w:t>0.</w:t>
            </w:r>
            <w:r w:rsidR="00BF5BB9" w:rsidRPr="007B22BA">
              <w:t>00</w:t>
            </w:r>
            <w:r w:rsidRPr="007B22BA">
              <w:t>%</w:t>
            </w:r>
            <w:r w:rsidRPr="007B22BA">
              <w:br/>
              <w:t>0.</w:t>
            </w:r>
            <w:r w:rsidR="00BF5BB9" w:rsidRPr="007B22BA">
              <w:t>05</w:t>
            </w:r>
            <w:r w:rsidRPr="007B22BA">
              <w:t>%</w:t>
            </w:r>
            <w:r w:rsidRPr="007B22BA">
              <w:br/>
              <w:t>0.</w:t>
            </w:r>
            <w:r w:rsidR="00BF5BB9" w:rsidRPr="007B22BA">
              <w:t>10</w:t>
            </w:r>
            <w:r w:rsidRPr="007B22BA">
              <w:t>%</w:t>
            </w:r>
            <w:r w:rsidRPr="007B22BA">
              <w:br/>
              <w:t>0.</w:t>
            </w:r>
            <w:r w:rsidR="00BF5BB9" w:rsidRPr="007B22BA">
              <w:t>15</w:t>
            </w:r>
            <w:r w:rsidRPr="007B22BA">
              <w:t>%</w:t>
            </w:r>
          </w:p>
        </w:tc>
        <w:tc>
          <w:tcPr>
            <w:tcW w:w="581" w:type="pct"/>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43" w:type="dxa"/>
              <w:left w:w="115" w:type="dxa"/>
              <w:bottom w:w="43" w:type="dxa"/>
              <w:right w:w="115" w:type="dxa"/>
            </w:tcMar>
            <w:vAlign w:val="center"/>
          </w:tcPr>
          <w:p w14:paraId="033E8E95" w14:textId="48C737B1" w:rsidR="007B22BA" w:rsidRPr="000A76A7" w:rsidRDefault="007B22BA" w:rsidP="007B22BA">
            <w:pPr>
              <w:spacing w:line="264" w:lineRule="auto"/>
              <w:jc w:val="center"/>
              <w:rPr>
                <w:rFonts w:cs="Arial"/>
                <w:sz w:val="18"/>
                <w:szCs w:val="18"/>
              </w:rPr>
            </w:pPr>
            <w:r>
              <w:rPr>
                <w:rFonts w:cs="Arial"/>
                <w:sz w:val="18"/>
                <w:szCs w:val="18"/>
              </w:rPr>
              <w:t>n/a</w:t>
            </w:r>
          </w:p>
        </w:tc>
        <w:tc>
          <w:tcPr>
            <w:tcW w:w="515" w:type="pct"/>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43" w:type="dxa"/>
              <w:left w:w="115" w:type="dxa"/>
              <w:bottom w:w="43" w:type="dxa"/>
              <w:right w:w="115" w:type="dxa"/>
            </w:tcMar>
            <w:vAlign w:val="center"/>
          </w:tcPr>
          <w:p w14:paraId="11F097B0" w14:textId="61A4CD33" w:rsidR="00516AF4" w:rsidRPr="000A76A7" w:rsidRDefault="007B22BA" w:rsidP="00635DAD">
            <w:pPr>
              <w:spacing w:line="264" w:lineRule="auto"/>
              <w:jc w:val="center"/>
              <w:rPr>
                <w:rFonts w:cs="Arial"/>
                <w:sz w:val="18"/>
                <w:szCs w:val="18"/>
              </w:rPr>
            </w:pPr>
            <w:r>
              <w:rPr>
                <w:rFonts w:cs="Arial"/>
                <w:sz w:val="18"/>
                <w:szCs w:val="18"/>
              </w:rPr>
              <w:t>n/a</w:t>
            </w:r>
          </w:p>
        </w:tc>
        <w:tc>
          <w:tcPr>
            <w:tcW w:w="613" w:type="pct"/>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43" w:type="dxa"/>
              <w:left w:w="115" w:type="dxa"/>
              <w:bottom w:w="43" w:type="dxa"/>
              <w:right w:w="115" w:type="dxa"/>
            </w:tcMar>
            <w:vAlign w:val="center"/>
          </w:tcPr>
          <w:p w14:paraId="55F7FF33" w14:textId="1FC4F162" w:rsidR="00516AF4" w:rsidRPr="000A76A7" w:rsidRDefault="00516AF4" w:rsidP="00635DAD">
            <w:pPr>
              <w:pStyle w:val="CU-05RFcentered"/>
              <w:spacing w:line="264" w:lineRule="auto"/>
            </w:pPr>
            <w:r w:rsidRPr="000A76A7">
              <w:t>Monthly</w:t>
            </w:r>
          </w:p>
        </w:tc>
        <w:tc>
          <w:tcPr>
            <w:tcW w:w="445" w:type="pct"/>
            <w:tcBorders>
              <w:top w:val="single" w:sz="4" w:space="0" w:color="000000"/>
              <w:left w:val="single" w:sz="4" w:space="0" w:color="000000"/>
              <w:bottom w:val="single" w:sz="4" w:space="0" w:color="000000"/>
            </w:tcBorders>
            <w:shd w:val="clear" w:color="auto" w:fill="D9E2F3" w:themeFill="accent1" w:themeFillTint="33"/>
            <w:tcMar>
              <w:top w:w="43" w:type="dxa"/>
              <w:left w:w="115" w:type="dxa"/>
              <w:bottom w:w="43" w:type="dxa"/>
              <w:right w:w="115" w:type="dxa"/>
            </w:tcMar>
            <w:vAlign w:val="center"/>
          </w:tcPr>
          <w:p w14:paraId="26062437" w14:textId="77777777" w:rsidR="00516AF4" w:rsidRPr="000A76A7" w:rsidRDefault="00516AF4" w:rsidP="00635DAD">
            <w:pPr>
              <w:pStyle w:val="CU-05RFcentered"/>
              <w:spacing w:line="264" w:lineRule="auto"/>
            </w:pPr>
            <w:r w:rsidRPr="000A76A7">
              <w:t>Monthly</w:t>
            </w:r>
          </w:p>
        </w:tc>
      </w:tr>
      <w:tr w:rsidR="00CD5D79" w:rsidRPr="000A76A7" w14:paraId="1834A726" w14:textId="77777777" w:rsidTr="002150A6">
        <w:tblPrEx>
          <w:tblCellMar>
            <w:top w:w="115" w:type="dxa"/>
            <w:bottom w:w="86" w:type="dxa"/>
          </w:tblCellMar>
        </w:tblPrEx>
        <w:trPr>
          <w:trHeight w:val="1165"/>
        </w:trPr>
        <w:tc>
          <w:tcPr>
            <w:tcW w:w="1625" w:type="pct"/>
            <w:tcBorders>
              <w:top w:val="single" w:sz="4" w:space="0" w:color="000000"/>
              <w:bottom w:val="single" w:sz="4" w:space="0" w:color="000000"/>
              <w:right w:val="single" w:sz="4" w:space="0" w:color="000000"/>
            </w:tcBorders>
            <w:shd w:val="clear" w:color="auto" w:fill="auto"/>
            <w:tcMar>
              <w:top w:w="43" w:type="dxa"/>
              <w:left w:w="115" w:type="dxa"/>
              <w:bottom w:w="43" w:type="dxa"/>
              <w:right w:w="115" w:type="dxa"/>
            </w:tcMar>
            <w:vAlign w:val="bottom"/>
          </w:tcPr>
          <w:p w14:paraId="04AC2BE0" w14:textId="39424C2E" w:rsidR="00516AF4" w:rsidRPr="00635DAD" w:rsidRDefault="00516AF4" w:rsidP="00635DAD">
            <w:pPr>
              <w:pStyle w:val="CU-08RFleft-justifiedcopy"/>
              <w:spacing w:before="0" w:line="264" w:lineRule="auto"/>
              <w:rPr>
                <w:b/>
              </w:rPr>
            </w:pPr>
            <w:r>
              <w:rPr>
                <w:b/>
              </w:rPr>
              <w:t xml:space="preserve">Business </w:t>
            </w:r>
            <w:r w:rsidRPr="00635DAD">
              <w:rPr>
                <w:b/>
              </w:rPr>
              <w:t>Money Market Account</w:t>
            </w:r>
            <w:r w:rsidRPr="00635DAD">
              <w:rPr>
                <w:b/>
              </w:rPr>
              <w:br/>
            </w:r>
            <w:r w:rsidRPr="00635DAD">
              <w:rPr>
                <w:bCs/>
              </w:rPr>
              <w:t>$0.00 - $50,000.00</w:t>
            </w:r>
            <w:r w:rsidRPr="00635DAD">
              <w:rPr>
                <w:bCs/>
              </w:rPr>
              <w:br/>
              <w:t>$50,000.01 - $100,000.00</w:t>
            </w:r>
            <w:r w:rsidRPr="00635DAD">
              <w:rPr>
                <w:bCs/>
              </w:rPr>
              <w:br/>
              <w:t>$100,000.01 - $200,000.00</w:t>
            </w:r>
            <w:r w:rsidRPr="00635DAD">
              <w:rPr>
                <w:bCs/>
              </w:rPr>
              <w:br/>
              <w:t>$200,000.01 or greater</w:t>
            </w:r>
          </w:p>
        </w:tc>
        <w:tc>
          <w:tcPr>
            <w:tcW w:w="541" w:type="pct"/>
            <w:tcBorders>
              <w:top w:val="single" w:sz="4" w:space="0" w:color="000000"/>
              <w:left w:val="single" w:sz="4" w:space="0" w:color="000000"/>
              <w:bottom w:val="single" w:sz="4" w:space="0" w:color="000000"/>
              <w:right w:val="single" w:sz="4" w:space="0" w:color="000000"/>
            </w:tcBorders>
            <w:shd w:val="clear" w:color="auto" w:fill="auto"/>
            <w:tcMar>
              <w:top w:w="43" w:type="dxa"/>
              <w:left w:w="115" w:type="dxa"/>
              <w:bottom w:w="43" w:type="dxa"/>
              <w:right w:w="115" w:type="dxa"/>
            </w:tcMar>
            <w:vAlign w:val="bottom"/>
          </w:tcPr>
          <w:p w14:paraId="5C1BE32D" w14:textId="77777777" w:rsidR="00516AF4" w:rsidRPr="000B20FE" w:rsidRDefault="00516AF4" w:rsidP="00635DAD">
            <w:pPr>
              <w:pStyle w:val="CU-05RFcentered"/>
              <w:spacing w:line="264" w:lineRule="auto"/>
            </w:pPr>
            <w:r w:rsidRPr="000B20FE">
              <w:br/>
              <w:t>0.</w:t>
            </w:r>
            <w:r>
              <w:t>7</w:t>
            </w:r>
            <w:r w:rsidRPr="000B20FE">
              <w:t>0%</w:t>
            </w:r>
            <w:r w:rsidRPr="000B20FE">
              <w:br/>
              <w:t>0.</w:t>
            </w:r>
            <w:r>
              <w:t>7</w:t>
            </w:r>
            <w:r w:rsidRPr="000B20FE">
              <w:t>0%</w:t>
            </w:r>
            <w:r w:rsidRPr="000B20FE">
              <w:br/>
              <w:t>0.</w:t>
            </w:r>
            <w:r>
              <w:t>8</w:t>
            </w:r>
            <w:r w:rsidRPr="000B20FE">
              <w:t>0%</w:t>
            </w:r>
            <w:r w:rsidRPr="000B20FE">
              <w:br/>
              <w:t>0.</w:t>
            </w:r>
            <w:r>
              <w:t>8</w:t>
            </w:r>
            <w:r w:rsidRPr="000B20FE">
              <w:t>0%</w:t>
            </w:r>
          </w:p>
        </w:tc>
        <w:tc>
          <w:tcPr>
            <w:tcW w:w="680" w:type="pct"/>
            <w:tcBorders>
              <w:top w:val="single" w:sz="4" w:space="0" w:color="000000"/>
              <w:left w:val="single" w:sz="4" w:space="0" w:color="000000"/>
              <w:bottom w:val="single" w:sz="4" w:space="0" w:color="000000"/>
              <w:right w:val="single" w:sz="4" w:space="0" w:color="000000"/>
            </w:tcBorders>
            <w:shd w:val="clear" w:color="auto" w:fill="auto"/>
            <w:tcMar>
              <w:top w:w="43" w:type="dxa"/>
              <w:left w:w="115" w:type="dxa"/>
              <w:bottom w:w="43" w:type="dxa"/>
              <w:right w:w="115" w:type="dxa"/>
            </w:tcMar>
            <w:vAlign w:val="bottom"/>
          </w:tcPr>
          <w:p w14:paraId="34E71508" w14:textId="77777777" w:rsidR="00516AF4" w:rsidRPr="000B20FE" w:rsidRDefault="00516AF4" w:rsidP="00635DAD">
            <w:pPr>
              <w:pStyle w:val="CU-05RFcentered"/>
              <w:spacing w:line="264" w:lineRule="auto"/>
            </w:pPr>
            <w:r w:rsidRPr="000B20FE">
              <w:br/>
              <w:t>0.</w:t>
            </w:r>
            <w:r>
              <w:t>7</w:t>
            </w:r>
            <w:r w:rsidRPr="000B20FE">
              <w:t>0%</w:t>
            </w:r>
            <w:r w:rsidRPr="000B20FE">
              <w:br/>
              <w:t>0.</w:t>
            </w:r>
            <w:r>
              <w:t>7</w:t>
            </w:r>
            <w:r w:rsidRPr="000B20FE">
              <w:t>0%</w:t>
            </w:r>
            <w:r w:rsidRPr="000B20FE">
              <w:br/>
              <w:t>0.</w:t>
            </w:r>
            <w:r>
              <w:t>8</w:t>
            </w:r>
            <w:r w:rsidRPr="000B20FE">
              <w:t>0%</w:t>
            </w:r>
            <w:r w:rsidRPr="000B20FE">
              <w:br/>
              <w:t>0.</w:t>
            </w:r>
            <w:r>
              <w:t>8</w:t>
            </w:r>
            <w:r w:rsidRPr="000B20FE">
              <w:t>0%</w:t>
            </w:r>
          </w:p>
        </w:tc>
        <w:tc>
          <w:tcPr>
            <w:tcW w:w="581" w:type="pct"/>
            <w:tcBorders>
              <w:top w:val="single" w:sz="4" w:space="0" w:color="000000"/>
              <w:left w:val="single" w:sz="4" w:space="0" w:color="000000"/>
              <w:bottom w:val="single" w:sz="4" w:space="0" w:color="000000"/>
              <w:right w:val="single" w:sz="4" w:space="0" w:color="000000"/>
            </w:tcBorders>
            <w:shd w:val="clear" w:color="auto" w:fill="auto"/>
            <w:tcMar>
              <w:top w:w="43" w:type="dxa"/>
              <w:left w:w="115" w:type="dxa"/>
              <w:bottom w:w="43" w:type="dxa"/>
              <w:right w:w="115" w:type="dxa"/>
            </w:tcMar>
            <w:vAlign w:val="center"/>
          </w:tcPr>
          <w:p w14:paraId="201EAC06" w14:textId="67622853" w:rsidR="00516AF4" w:rsidRPr="00635DAD" w:rsidRDefault="007B22BA" w:rsidP="00635DAD">
            <w:pPr>
              <w:spacing w:line="264" w:lineRule="auto"/>
              <w:jc w:val="center"/>
              <w:rPr>
                <w:rFonts w:cs="Arial"/>
                <w:sz w:val="18"/>
                <w:szCs w:val="18"/>
              </w:rPr>
            </w:pPr>
            <w:r>
              <w:rPr>
                <w:rFonts w:cs="Arial"/>
                <w:sz w:val="18"/>
                <w:szCs w:val="18"/>
              </w:rPr>
              <w:t>$500</w:t>
            </w: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43" w:type="dxa"/>
              <w:left w:w="115" w:type="dxa"/>
              <w:bottom w:w="43" w:type="dxa"/>
              <w:right w:w="115" w:type="dxa"/>
            </w:tcMar>
            <w:vAlign w:val="center"/>
          </w:tcPr>
          <w:p w14:paraId="53BA2D08" w14:textId="2924317A" w:rsidR="00516AF4" w:rsidRPr="00635DAD" w:rsidRDefault="007B22BA" w:rsidP="00635DAD">
            <w:pPr>
              <w:spacing w:line="264" w:lineRule="auto"/>
              <w:jc w:val="center"/>
              <w:rPr>
                <w:rFonts w:cs="Arial"/>
                <w:sz w:val="18"/>
                <w:szCs w:val="18"/>
              </w:rPr>
            </w:pPr>
            <w:r>
              <w:rPr>
                <w:rFonts w:cs="Arial"/>
                <w:sz w:val="18"/>
                <w:szCs w:val="18"/>
              </w:rPr>
              <w:t>n/a</w:t>
            </w:r>
          </w:p>
        </w:tc>
        <w:tc>
          <w:tcPr>
            <w:tcW w:w="613" w:type="pct"/>
            <w:tcBorders>
              <w:top w:val="single" w:sz="4" w:space="0" w:color="000000"/>
              <w:left w:val="single" w:sz="4" w:space="0" w:color="000000"/>
              <w:bottom w:val="single" w:sz="4" w:space="0" w:color="000000"/>
              <w:right w:val="single" w:sz="4" w:space="0" w:color="000000"/>
            </w:tcBorders>
            <w:shd w:val="clear" w:color="auto" w:fill="auto"/>
            <w:tcMar>
              <w:top w:w="43" w:type="dxa"/>
              <w:left w:w="115" w:type="dxa"/>
              <w:bottom w:w="43" w:type="dxa"/>
              <w:right w:w="115" w:type="dxa"/>
            </w:tcMar>
            <w:vAlign w:val="center"/>
          </w:tcPr>
          <w:p w14:paraId="285E775B" w14:textId="2E50DDC3" w:rsidR="00516AF4" w:rsidRPr="00635DAD" w:rsidRDefault="00516AF4" w:rsidP="00635DAD">
            <w:pPr>
              <w:pStyle w:val="CU-05RFcentered"/>
              <w:spacing w:line="264" w:lineRule="auto"/>
            </w:pPr>
            <w:r w:rsidRPr="00635DAD">
              <w:t>Monthly</w:t>
            </w:r>
          </w:p>
        </w:tc>
        <w:tc>
          <w:tcPr>
            <w:tcW w:w="444" w:type="pct"/>
            <w:tcBorders>
              <w:top w:val="single" w:sz="4" w:space="0" w:color="000000"/>
              <w:left w:val="single" w:sz="4" w:space="0" w:color="000000"/>
              <w:bottom w:val="single" w:sz="4" w:space="0" w:color="000000"/>
            </w:tcBorders>
            <w:shd w:val="clear" w:color="auto" w:fill="auto"/>
            <w:tcMar>
              <w:top w:w="43" w:type="dxa"/>
              <w:left w:w="115" w:type="dxa"/>
              <w:bottom w:w="43" w:type="dxa"/>
              <w:right w:w="115" w:type="dxa"/>
            </w:tcMar>
            <w:vAlign w:val="center"/>
          </w:tcPr>
          <w:p w14:paraId="4B15A3AB" w14:textId="77777777" w:rsidR="00516AF4" w:rsidRPr="00635DAD" w:rsidRDefault="00516AF4" w:rsidP="00635DAD">
            <w:pPr>
              <w:pStyle w:val="CU-05RFcentered"/>
              <w:spacing w:line="264" w:lineRule="auto"/>
            </w:pPr>
            <w:r w:rsidRPr="00635DAD">
              <w:t>Monthly</w:t>
            </w:r>
          </w:p>
        </w:tc>
      </w:tr>
      <w:tr w:rsidR="00CD5D79" w:rsidRPr="000A76A7" w14:paraId="3AB43835" w14:textId="77777777" w:rsidTr="002150A6">
        <w:tblPrEx>
          <w:tblCellMar>
            <w:top w:w="115" w:type="dxa"/>
            <w:bottom w:w="86" w:type="dxa"/>
          </w:tblCellMar>
        </w:tblPrEx>
        <w:trPr>
          <w:trHeight w:val="1165"/>
        </w:trPr>
        <w:tc>
          <w:tcPr>
            <w:tcW w:w="1625" w:type="pct"/>
            <w:tcBorders>
              <w:top w:val="single" w:sz="4" w:space="0" w:color="000000"/>
              <w:bottom w:val="single" w:sz="4" w:space="0" w:color="000000"/>
              <w:right w:val="single" w:sz="4" w:space="0" w:color="000000"/>
            </w:tcBorders>
            <w:shd w:val="clear" w:color="auto" w:fill="D9E2F3" w:themeFill="accent1" w:themeFillTint="33"/>
            <w:tcMar>
              <w:top w:w="43" w:type="dxa"/>
              <w:left w:w="115" w:type="dxa"/>
              <w:bottom w:w="43" w:type="dxa"/>
              <w:right w:w="115" w:type="dxa"/>
            </w:tcMar>
            <w:vAlign w:val="bottom"/>
          </w:tcPr>
          <w:p w14:paraId="2B02D602" w14:textId="7643FC37" w:rsidR="00516AF4" w:rsidRPr="00635DAD" w:rsidRDefault="00516AF4" w:rsidP="00635DAD">
            <w:pPr>
              <w:pStyle w:val="CU-08RFleft-justifiedcopy"/>
              <w:spacing w:before="0" w:line="264" w:lineRule="auto"/>
              <w:rPr>
                <w:b/>
              </w:rPr>
            </w:pPr>
            <w:r>
              <w:rPr>
                <w:b/>
              </w:rPr>
              <w:t xml:space="preserve">Share </w:t>
            </w:r>
            <w:r w:rsidRPr="00635DAD">
              <w:rPr>
                <w:b/>
              </w:rPr>
              <w:t>Certificates</w:t>
            </w:r>
            <w:r w:rsidRPr="00635DAD">
              <w:rPr>
                <w:b/>
              </w:rPr>
              <w:br/>
            </w:r>
            <w:r w:rsidRPr="00635DAD">
              <w:rPr>
                <w:bCs/>
              </w:rPr>
              <w:t xml:space="preserve">6 Months </w:t>
            </w:r>
            <w:r w:rsidRPr="00635DAD">
              <w:rPr>
                <w:bCs/>
              </w:rPr>
              <w:br/>
              <w:t xml:space="preserve">12 Months </w:t>
            </w:r>
            <w:r w:rsidRPr="00635DAD">
              <w:rPr>
                <w:bCs/>
              </w:rPr>
              <w:br/>
              <w:t xml:space="preserve">18 Months </w:t>
            </w:r>
            <w:r w:rsidRPr="00635DAD">
              <w:rPr>
                <w:bCs/>
              </w:rPr>
              <w:br/>
              <w:t xml:space="preserve">24 Months </w:t>
            </w:r>
            <w:r w:rsidRPr="00635DAD">
              <w:rPr>
                <w:bCs/>
              </w:rPr>
              <w:br/>
              <w:t xml:space="preserve">36 Months </w:t>
            </w:r>
            <w:r w:rsidRPr="00635DAD">
              <w:rPr>
                <w:bCs/>
              </w:rPr>
              <w:br/>
              <w:t xml:space="preserve">48 Months </w:t>
            </w:r>
            <w:r w:rsidRPr="00635DAD">
              <w:rPr>
                <w:bCs/>
              </w:rPr>
              <w:br/>
              <w:t xml:space="preserve">60 Months </w:t>
            </w:r>
          </w:p>
        </w:tc>
        <w:tc>
          <w:tcPr>
            <w:tcW w:w="541" w:type="pct"/>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43" w:type="dxa"/>
              <w:left w:w="115" w:type="dxa"/>
              <w:bottom w:w="43" w:type="dxa"/>
              <w:right w:w="115" w:type="dxa"/>
            </w:tcMar>
            <w:vAlign w:val="bottom"/>
          </w:tcPr>
          <w:p w14:paraId="26D8CC37" w14:textId="78334CCF" w:rsidR="00516AF4" w:rsidRPr="00635DAD" w:rsidRDefault="00516AF4" w:rsidP="00635DAD">
            <w:pPr>
              <w:pStyle w:val="CU-05RFcentered"/>
              <w:spacing w:line="264" w:lineRule="auto"/>
            </w:pPr>
            <w:r w:rsidRPr="00635DAD">
              <w:br/>
              <w:t>3.45%</w:t>
            </w:r>
            <w:r w:rsidRPr="00635DAD">
              <w:br/>
              <w:t>3.69%</w:t>
            </w:r>
            <w:r w:rsidRPr="00635DAD">
              <w:br/>
              <w:t>2.62%</w:t>
            </w:r>
            <w:r w:rsidRPr="00635DAD">
              <w:br/>
              <w:t>2.62%</w:t>
            </w:r>
            <w:r w:rsidRPr="00635DAD">
              <w:br/>
              <w:t>2.62%</w:t>
            </w:r>
            <w:r w:rsidRPr="00635DAD">
              <w:br/>
              <w:t>2.62%</w:t>
            </w:r>
            <w:r w:rsidRPr="00635DAD">
              <w:br/>
              <w:t>2.62%</w:t>
            </w:r>
          </w:p>
        </w:tc>
        <w:tc>
          <w:tcPr>
            <w:tcW w:w="680" w:type="pct"/>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43" w:type="dxa"/>
              <w:left w:w="115" w:type="dxa"/>
              <w:bottom w:w="43" w:type="dxa"/>
              <w:right w:w="115" w:type="dxa"/>
            </w:tcMar>
            <w:vAlign w:val="bottom"/>
          </w:tcPr>
          <w:p w14:paraId="661F2A60" w14:textId="63168AD9" w:rsidR="00516AF4" w:rsidRPr="00635DAD" w:rsidRDefault="00516AF4" w:rsidP="00635DAD">
            <w:pPr>
              <w:pStyle w:val="CU-05RFcentered"/>
              <w:spacing w:line="264" w:lineRule="auto"/>
            </w:pPr>
            <w:r w:rsidRPr="00635DAD">
              <w:br/>
              <w:t>3.50%</w:t>
            </w:r>
            <w:r w:rsidRPr="00635DAD">
              <w:br/>
              <w:t>3.75%</w:t>
            </w:r>
            <w:r w:rsidRPr="00635DAD">
              <w:br/>
              <w:t>2.65%</w:t>
            </w:r>
            <w:r w:rsidRPr="00635DAD">
              <w:br/>
              <w:t>2.65%</w:t>
            </w:r>
            <w:r w:rsidRPr="00635DAD">
              <w:br/>
              <w:t>2.65%</w:t>
            </w:r>
            <w:r w:rsidRPr="00635DAD">
              <w:br/>
              <w:t>2.65%</w:t>
            </w:r>
            <w:r w:rsidRPr="00635DAD">
              <w:br/>
              <w:t>2.65%</w:t>
            </w:r>
          </w:p>
        </w:tc>
        <w:tc>
          <w:tcPr>
            <w:tcW w:w="581" w:type="pct"/>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43" w:type="dxa"/>
              <w:left w:w="115" w:type="dxa"/>
              <w:bottom w:w="43" w:type="dxa"/>
              <w:right w:w="115" w:type="dxa"/>
            </w:tcMar>
            <w:vAlign w:val="center"/>
          </w:tcPr>
          <w:p w14:paraId="54A9A141" w14:textId="77777777" w:rsidR="00516AF4" w:rsidRPr="000A76A7" w:rsidRDefault="00516AF4" w:rsidP="00635DAD">
            <w:pPr>
              <w:spacing w:line="264" w:lineRule="auto"/>
              <w:jc w:val="center"/>
              <w:rPr>
                <w:rFonts w:cs="Arial"/>
                <w:sz w:val="18"/>
                <w:szCs w:val="18"/>
              </w:rPr>
            </w:pPr>
            <w:r w:rsidRPr="000A76A7">
              <w:rPr>
                <w:rFonts w:cs="Arial"/>
                <w:sz w:val="18"/>
                <w:szCs w:val="18"/>
              </w:rPr>
              <w:t>$500.00</w:t>
            </w:r>
          </w:p>
        </w:tc>
        <w:tc>
          <w:tcPr>
            <w:tcW w:w="515" w:type="pct"/>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43" w:type="dxa"/>
              <w:left w:w="115" w:type="dxa"/>
              <w:bottom w:w="43" w:type="dxa"/>
              <w:right w:w="115" w:type="dxa"/>
            </w:tcMar>
            <w:vAlign w:val="center"/>
          </w:tcPr>
          <w:p w14:paraId="0A9C2889" w14:textId="6CF897CD" w:rsidR="00516AF4" w:rsidRPr="000A76A7" w:rsidRDefault="007B22BA" w:rsidP="00635DAD">
            <w:pPr>
              <w:spacing w:line="264" w:lineRule="auto"/>
              <w:jc w:val="center"/>
              <w:rPr>
                <w:rFonts w:cs="Arial"/>
                <w:sz w:val="18"/>
                <w:szCs w:val="18"/>
              </w:rPr>
            </w:pPr>
            <w:r>
              <w:rPr>
                <w:rFonts w:cs="Arial"/>
                <w:sz w:val="18"/>
                <w:szCs w:val="18"/>
              </w:rPr>
              <w:t>$500.00</w:t>
            </w:r>
          </w:p>
        </w:tc>
        <w:tc>
          <w:tcPr>
            <w:tcW w:w="613" w:type="pct"/>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43" w:type="dxa"/>
              <w:left w:w="115" w:type="dxa"/>
              <w:bottom w:w="43" w:type="dxa"/>
              <w:right w:w="115" w:type="dxa"/>
            </w:tcMar>
            <w:vAlign w:val="center"/>
          </w:tcPr>
          <w:p w14:paraId="23CBD528" w14:textId="2A6EC325" w:rsidR="00516AF4" w:rsidRPr="00635DAD" w:rsidRDefault="00516AF4" w:rsidP="00635DAD">
            <w:pPr>
              <w:pStyle w:val="CU-05RFcentered"/>
              <w:spacing w:line="264" w:lineRule="auto"/>
            </w:pPr>
            <w:r w:rsidRPr="00635DAD">
              <w:t>Monthly</w:t>
            </w:r>
          </w:p>
        </w:tc>
        <w:tc>
          <w:tcPr>
            <w:tcW w:w="444" w:type="pct"/>
            <w:tcBorders>
              <w:top w:val="single" w:sz="4" w:space="0" w:color="000000"/>
              <w:left w:val="single" w:sz="4" w:space="0" w:color="000000"/>
              <w:bottom w:val="single" w:sz="4" w:space="0" w:color="000000"/>
            </w:tcBorders>
            <w:shd w:val="clear" w:color="auto" w:fill="D9E2F3" w:themeFill="accent1" w:themeFillTint="33"/>
            <w:tcMar>
              <w:top w:w="43" w:type="dxa"/>
              <w:left w:w="115" w:type="dxa"/>
              <w:bottom w:w="43" w:type="dxa"/>
              <w:right w:w="115" w:type="dxa"/>
            </w:tcMar>
            <w:vAlign w:val="center"/>
          </w:tcPr>
          <w:p w14:paraId="5DBD1AA6" w14:textId="77777777" w:rsidR="00516AF4" w:rsidRPr="00635DAD" w:rsidRDefault="00516AF4" w:rsidP="00635DAD">
            <w:pPr>
              <w:pStyle w:val="CU-05RFcentered"/>
              <w:spacing w:line="264" w:lineRule="auto"/>
            </w:pPr>
            <w:r w:rsidRPr="00635DAD">
              <w:t>Monthly</w:t>
            </w:r>
          </w:p>
        </w:tc>
      </w:tr>
    </w:tbl>
    <w:p w14:paraId="3147A928" w14:textId="77777777" w:rsidR="000228AC" w:rsidRPr="009C5F8C" w:rsidRDefault="00D27E6A" w:rsidP="0021048C">
      <w:pPr>
        <w:pStyle w:val="Heading1"/>
        <w:spacing w:before="180"/>
        <w:rPr>
          <w:spacing w:val="-4"/>
        </w:rPr>
      </w:pPr>
      <w:r w:rsidRPr="009C5F8C">
        <w:rPr>
          <w:spacing w:val="-4"/>
        </w:rPr>
        <w:t xml:space="preserve">Explanation of Rates &amp; </w:t>
      </w:r>
      <w:r w:rsidR="009C5F8C" w:rsidRPr="009C5F8C">
        <w:rPr>
          <w:spacing w:val="-4"/>
        </w:rPr>
        <w:t>Service Charges</w:t>
      </w:r>
    </w:p>
    <w:p w14:paraId="2C01EC4B" w14:textId="77777777" w:rsidR="0021048C" w:rsidRDefault="0021048C" w:rsidP="001C7312">
      <w:pPr>
        <w:pStyle w:val="CU-01Bodycopystandard"/>
        <w:sectPr w:rsidR="0021048C" w:rsidSect="0021048C">
          <w:headerReference w:type="default" r:id="rId8"/>
          <w:footerReference w:type="default" r:id="rId9"/>
          <w:headerReference w:type="first" r:id="rId10"/>
          <w:footerReference w:type="first" r:id="rId11"/>
          <w:type w:val="continuous"/>
          <w:pgSz w:w="12240" w:h="15840" w:code="1"/>
          <w:pgMar w:top="900" w:right="720" w:bottom="810" w:left="720" w:header="432" w:footer="432" w:gutter="0"/>
          <w:cols w:space="288"/>
          <w:titlePg/>
          <w:docGrid w:linePitch="360"/>
        </w:sectPr>
      </w:pPr>
    </w:p>
    <w:p w14:paraId="25312F36" w14:textId="6E961F12" w:rsidR="001C7312" w:rsidRDefault="001C7312" w:rsidP="001C7312">
      <w:pPr>
        <w:pStyle w:val="CU-01Bodycopystandard"/>
      </w:pPr>
      <w:r w:rsidRPr="001C7312">
        <w:t xml:space="preserve">As explained in the MSA, </w:t>
      </w:r>
      <w:r w:rsidR="001569D7">
        <w:t>“</w:t>
      </w:r>
      <w:r w:rsidRPr="001C7312">
        <w:t xml:space="preserve">Our Rates &amp; </w:t>
      </w:r>
      <w:r w:rsidR="009C5F8C">
        <w:t>Service Charges</w:t>
      </w:r>
      <w:r w:rsidR="001569D7">
        <w:t>”</w:t>
      </w:r>
      <w:r w:rsidRPr="001C7312">
        <w:t xml:space="preserve"> applies to all </w:t>
      </w:r>
      <w:r w:rsidR="00531E33">
        <w:t xml:space="preserve">the </w:t>
      </w:r>
      <w:r w:rsidRPr="001C7312">
        <w:t>accounts we offer.</w:t>
      </w:r>
      <w:r w:rsidR="00E64608">
        <w:t xml:space="preserve"> </w:t>
      </w:r>
      <w:r>
        <w:t xml:space="preserve">Except as specifically described, </w:t>
      </w:r>
      <w:r w:rsidRPr="00531E33">
        <w:t>the following terms apply to all of the accounts</w:t>
      </w:r>
      <w:r w:rsidR="00E64608" w:rsidRPr="00531E33">
        <w:t xml:space="preserve"> you have with us</w:t>
      </w:r>
      <w:r w:rsidR="00F77506" w:rsidRPr="00531E33">
        <w:t>.</w:t>
      </w:r>
    </w:p>
    <w:p w14:paraId="6AECEFA0" w14:textId="77777777" w:rsidR="001C7312" w:rsidRDefault="001C7312" w:rsidP="001C7312">
      <w:pPr>
        <w:pStyle w:val="Heading2"/>
      </w:pPr>
      <w:r>
        <w:t>1.</w:t>
      </w:r>
      <w:r w:rsidR="00BC6339">
        <w:t xml:space="preserve"> </w:t>
      </w:r>
      <w:r>
        <w:t xml:space="preserve">Rate Information </w:t>
      </w:r>
    </w:p>
    <w:p w14:paraId="1EB1B221" w14:textId="5D0057A6" w:rsidR="001C7312" w:rsidRPr="00766C86" w:rsidRDefault="0076218F" w:rsidP="009C5F8C">
      <w:pPr>
        <w:pStyle w:val="CU-01Bodycopystandard"/>
        <w:rPr>
          <w:spacing w:val="-2"/>
        </w:rPr>
      </w:pPr>
      <w:r w:rsidRPr="00766C86">
        <w:rPr>
          <w:spacing w:val="-2"/>
        </w:rPr>
        <w:t xml:space="preserve">The Dividend Rate and Annual Percentage Yield on the accounts you have with us are </w:t>
      </w:r>
      <w:r w:rsidR="001569D7" w:rsidRPr="00766C86">
        <w:rPr>
          <w:spacing w:val="-2"/>
        </w:rPr>
        <w:t>indicated</w:t>
      </w:r>
      <w:r w:rsidRPr="00766C86">
        <w:rPr>
          <w:spacing w:val="-2"/>
        </w:rPr>
        <w:t xml:space="preserve"> above. For all accounts except certificates, the Dividend Rate and Annual Percentage Yield may change monthly as determined by the Board of Directors. Regular and Miscellaneous Savings </w:t>
      </w:r>
      <w:r w:rsidR="00B85FD4" w:rsidRPr="00766C86">
        <w:rPr>
          <w:spacing w:val="-2"/>
        </w:rPr>
        <w:t>A</w:t>
      </w:r>
      <w:r w:rsidRPr="00766C86">
        <w:rPr>
          <w:spacing w:val="-2"/>
        </w:rPr>
        <w:t>ccounts, and Money Market Accounts are Tiered Rate Accounts. For these accounts, the Dividend Rate for a particular tier will apply to the entire account balance if the account balance is within the balance range for that tier. Premier Dividend Checking</w:t>
      </w:r>
      <w:r w:rsidR="00133519" w:rsidRPr="00766C86">
        <w:rPr>
          <w:spacing w:val="-2"/>
        </w:rPr>
        <w:t>, Kasasa Saver and Kasasa Cash Checking accounts</w:t>
      </w:r>
      <w:r w:rsidRPr="00766C86">
        <w:rPr>
          <w:spacing w:val="-2"/>
        </w:rPr>
        <w:t xml:space="preserve"> are also tiered rate accounts; however, </w:t>
      </w:r>
      <w:r w:rsidR="00133519" w:rsidRPr="00766C86">
        <w:rPr>
          <w:spacing w:val="-2"/>
        </w:rPr>
        <w:t>for these accounts</w:t>
      </w:r>
      <w:r w:rsidRPr="00766C86">
        <w:rPr>
          <w:spacing w:val="-2"/>
        </w:rPr>
        <w:t xml:space="preserve">, the Dividend Rate for a particular tier will only apply to the portion of the account balance within that tier. </w:t>
      </w:r>
      <w:r w:rsidR="001569D7" w:rsidRPr="00766C86">
        <w:rPr>
          <w:spacing w:val="-2"/>
        </w:rPr>
        <w:t xml:space="preserve">The annual percentage yields, which vary depending on the balance in the account, are shown for each tier. </w:t>
      </w:r>
      <w:r w:rsidRPr="00766C86">
        <w:rPr>
          <w:spacing w:val="-2"/>
        </w:rPr>
        <w:t xml:space="preserve">The Dividend Rates and Annual Percentage Yields are the prospective rates as of the effective date shown above. For Certificate Accounts, the Dividend Rate and Annual Percentage Yield are fixed and will be in effect for the term of the account. </w:t>
      </w:r>
      <w:r w:rsidR="003A069D">
        <w:rPr>
          <w:spacing w:val="-2"/>
        </w:rPr>
        <w:t xml:space="preserve">For Certificate Accounts, Jumbo Certificates (amounts of $100,000.00 or greater) pay 0.10% APY more than the regular certificate yield. </w:t>
      </w:r>
      <w:r w:rsidRPr="00766C86">
        <w:rPr>
          <w:spacing w:val="-2"/>
        </w:rPr>
        <w:t xml:space="preserve">For Certificate accounts, the Annual Percentage Yield </w:t>
      </w:r>
      <w:proofErr w:type="gramStart"/>
      <w:r w:rsidRPr="00766C86">
        <w:rPr>
          <w:spacing w:val="-2"/>
        </w:rPr>
        <w:t>is based on an assumption</w:t>
      </w:r>
      <w:proofErr w:type="gramEnd"/>
      <w:r w:rsidRPr="00766C86">
        <w:rPr>
          <w:spacing w:val="-2"/>
        </w:rPr>
        <w:t xml:space="preserve"> that dividends will remain on deposit until maturity. A withdrawal of dividends will reduce earnings</w:t>
      </w:r>
      <w:r w:rsidR="001C7312" w:rsidRPr="00766C86">
        <w:rPr>
          <w:spacing w:val="-2"/>
        </w:rPr>
        <w:t>.</w:t>
      </w:r>
    </w:p>
    <w:p w14:paraId="220B7023" w14:textId="77777777" w:rsidR="001C7312" w:rsidRDefault="001C7312" w:rsidP="001C7312">
      <w:pPr>
        <w:pStyle w:val="Heading2"/>
      </w:pPr>
      <w:r>
        <w:t>2.</w:t>
      </w:r>
      <w:r w:rsidR="00BC6339">
        <w:t xml:space="preserve"> </w:t>
      </w:r>
      <w:r>
        <w:t xml:space="preserve">Nature of Dividends </w:t>
      </w:r>
    </w:p>
    <w:p w14:paraId="2BD9A185" w14:textId="65336B0F" w:rsidR="001C7312" w:rsidRPr="00361E91" w:rsidRDefault="001C7312" w:rsidP="001C7312">
      <w:pPr>
        <w:pStyle w:val="CU-01Bodycopystandard"/>
        <w:rPr>
          <w:spacing w:val="-2"/>
        </w:rPr>
      </w:pPr>
      <w:r w:rsidRPr="00361E91">
        <w:rPr>
          <w:spacing w:val="-2"/>
        </w:rPr>
        <w:t xml:space="preserve">Dividends are paid from current income and available earnings after required transfers to reserves at the end of a dividend period. </w:t>
      </w:r>
    </w:p>
    <w:p w14:paraId="571624A3" w14:textId="77777777" w:rsidR="001C7312" w:rsidRDefault="001C7312" w:rsidP="001C7312">
      <w:pPr>
        <w:pStyle w:val="Heading2"/>
      </w:pPr>
      <w:r>
        <w:t>3.</w:t>
      </w:r>
      <w:r w:rsidR="00BC6339">
        <w:t xml:space="preserve"> </w:t>
      </w:r>
      <w:r>
        <w:t xml:space="preserve">Compounding and Crediting </w:t>
      </w:r>
    </w:p>
    <w:p w14:paraId="07885956" w14:textId="77777777" w:rsidR="001C7312" w:rsidRDefault="001C7312" w:rsidP="001C7312">
      <w:pPr>
        <w:pStyle w:val="CU-01Bodycopystandard"/>
      </w:pPr>
      <w:r w:rsidRPr="005A3025">
        <w:t>Dividends will be compounded and credited as</w:t>
      </w:r>
      <w:r>
        <w:t xml:space="preserve"> </w:t>
      </w:r>
      <w:r w:rsidRPr="001C7312">
        <w:t xml:space="preserve">identified </w:t>
      </w:r>
      <w:r w:rsidRPr="005A3025">
        <w:t>above</w:t>
      </w:r>
      <w:r>
        <w:t xml:space="preserve">. </w:t>
      </w:r>
      <w:r w:rsidRPr="005A3025">
        <w:t>For dividend bearing accounts, the Dividend Period begins on the first calendar day of the period and ends on the last calendar day of the period</w:t>
      </w:r>
      <w:r>
        <w:t>.</w:t>
      </w:r>
    </w:p>
    <w:p w14:paraId="14D7DCBC" w14:textId="77777777" w:rsidR="001C7312" w:rsidRDefault="001C7312" w:rsidP="001C7312">
      <w:pPr>
        <w:pStyle w:val="Heading2"/>
      </w:pPr>
      <w:r>
        <w:t>4.</w:t>
      </w:r>
      <w:r w:rsidR="00BC6339">
        <w:t xml:space="preserve"> </w:t>
      </w:r>
      <w:r>
        <w:t xml:space="preserve">Accrual of Dividends </w:t>
      </w:r>
    </w:p>
    <w:p w14:paraId="383BDD62" w14:textId="77777777" w:rsidR="001C7312" w:rsidRDefault="001C7312" w:rsidP="001C7312">
      <w:pPr>
        <w:pStyle w:val="CU-01Bodycopystandard"/>
      </w:pPr>
      <w:r w:rsidRPr="005A3025">
        <w:t xml:space="preserve">Dividends will begin to accrue on noncash deposits (e.g., checks) on the business day you make the deposit to </w:t>
      </w:r>
      <w:r w:rsidRPr="001C7312">
        <w:t>an</w:t>
      </w:r>
      <w:r>
        <w:t xml:space="preserve"> </w:t>
      </w:r>
      <w:r w:rsidRPr="005A3025">
        <w:t>account</w:t>
      </w:r>
      <w:r>
        <w:t xml:space="preserve"> </w:t>
      </w:r>
      <w:r w:rsidRPr="001C7312">
        <w:t>you have with us</w:t>
      </w:r>
      <w:r>
        <w:t xml:space="preserve">. </w:t>
      </w:r>
      <w:r w:rsidRPr="005A3025">
        <w:t xml:space="preserve">If you </w:t>
      </w:r>
      <w:r w:rsidRPr="001C7312">
        <w:t>terminate</w:t>
      </w:r>
      <w:r>
        <w:t xml:space="preserve"> </w:t>
      </w:r>
      <w:r w:rsidRPr="001C7312">
        <w:t>the</w:t>
      </w:r>
      <w:r>
        <w:t xml:space="preserve"> </w:t>
      </w:r>
      <w:r w:rsidRPr="005A3025">
        <w:t>account before accrued dividends are credited, accrued dividends will not be paid</w:t>
      </w:r>
      <w:r>
        <w:t>.</w:t>
      </w:r>
    </w:p>
    <w:p w14:paraId="6BA8BE35" w14:textId="77777777" w:rsidR="001C7312" w:rsidRDefault="001C7312" w:rsidP="001C7312">
      <w:pPr>
        <w:pStyle w:val="Heading2"/>
      </w:pPr>
      <w:r>
        <w:t>5.</w:t>
      </w:r>
      <w:r w:rsidR="00BC6339">
        <w:t xml:space="preserve"> </w:t>
      </w:r>
      <w:r>
        <w:t xml:space="preserve">Balance Information </w:t>
      </w:r>
    </w:p>
    <w:p w14:paraId="4395EDA4" w14:textId="1AB3CDFB" w:rsidR="001C7312" w:rsidRPr="00B85FD4" w:rsidRDefault="00B85FD4" w:rsidP="001C7312">
      <w:pPr>
        <w:pStyle w:val="CU-01Bodycopystandard"/>
        <w:rPr>
          <w:spacing w:val="-2"/>
        </w:rPr>
      </w:pPr>
      <w:r w:rsidRPr="00B85FD4">
        <w:rPr>
          <w:spacing w:val="-2"/>
        </w:rPr>
        <w:t xml:space="preserve">The minimum balance required to </w:t>
      </w:r>
      <w:r w:rsidR="001569D7">
        <w:rPr>
          <w:spacing w:val="-2"/>
        </w:rPr>
        <w:t>start</w:t>
      </w:r>
      <w:r w:rsidRPr="00B85FD4">
        <w:rPr>
          <w:spacing w:val="-2"/>
        </w:rPr>
        <w:t xml:space="preserve"> each account and earn the stated Annual Percentage Yield is set forth above. If you do not maintain the minimum balance, you will not earn the stated Annual Percentage Yield. For all dividend bearing accounts, dividends are calculated by using the Daily Balance method, which applies a daily periodic rate to the balance in the account each day</w:t>
      </w:r>
      <w:r w:rsidR="001C7312" w:rsidRPr="00B85FD4">
        <w:rPr>
          <w:spacing w:val="-2"/>
        </w:rPr>
        <w:t xml:space="preserve">. </w:t>
      </w:r>
    </w:p>
    <w:p w14:paraId="69CA861D" w14:textId="13ADD914" w:rsidR="001C7312" w:rsidRDefault="001C7312" w:rsidP="001C7312">
      <w:pPr>
        <w:pStyle w:val="Heading2"/>
      </w:pPr>
      <w:r>
        <w:t>6.</w:t>
      </w:r>
      <w:r w:rsidR="00BC6339">
        <w:t xml:space="preserve"> </w:t>
      </w:r>
      <w:r>
        <w:t xml:space="preserve">Account Limitations </w:t>
      </w:r>
    </w:p>
    <w:p w14:paraId="19880910" w14:textId="4678F226" w:rsidR="001C7312" w:rsidRDefault="00B85FD4" w:rsidP="001C7312">
      <w:pPr>
        <w:pStyle w:val="CU-01Bodycopystandard"/>
      </w:pPr>
      <w:r w:rsidRPr="008D6241">
        <w:t>For a Club account, the entire balance will be paid to you by check or transferred to another account on or after the maturity date (</w:t>
      </w:r>
      <w:r w:rsidR="00386DF6">
        <w:t>October 15</w:t>
      </w:r>
      <w:r w:rsidRPr="008D6241">
        <w:t xml:space="preserve"> for Christmas Club and </w:t>
      </w:r>
      <w:r w:rsidR="00386DF6">
        <w:t>May 15</w:t>
      </w:r>
      <w:r w:rsidRPr="008D6241">
        <w:t xml:space="preserve"> for Vacation Club) and the account will remain open. If any withdrawal is made from this account before the end of the Club term, then the account will be </w:t>
      </w:r>
      <w:proofErr w:type="gramStart"/>
      <w:r w:rsidRPr="008D6241">
        <w:t>closed</w:t>
      </w:r>
      <w:proofErr w:type="gramEnd"/>
      <w:r w:rsidRPr="008D6241">
        <w:t xml:space="preserve"> and a $5</w:t>
      </w:r>
      <w:r w:rsidR="007B22BA" w:rsidRPr="008D6241">
        <w:t>.00</w:t>
      </w:r>
      <w:r w:rsidRPr="008D6241">
        <w:t xml:space="preserve"> penalty will be assessed</w:t>
      </w:r>
      <w:r w:rsidR="001C7312" w:rsidRPr="008D6241">
        <w:t>.</w:t>
      </w:r>
    </w:p>
    <w:p w14:paraId="12D06E53" w14:textId="77777777" w:rsidR="001C7312" w:rsidRDefault="001C7312" w:rsidP="001C7312">
      <w:pPr>
        <w:pStyle w:val="Heading2"/>
      </w:pPr>
      <w:r>
        <w:t>7.</w:t>
      </w:r>
      <w:r w:rsidR="00BC6339">
        <w:t xml:space="preserve"> </w:t>
      </w:r>
      <w:r>
        <w:t>Certificate Account Features</w:t>
      </w:r>
    </w:p>
    <w:p w14:paraId="612532E1" w14:textId="147A28AC" w:rsidR="001C7312" w:rsidRPr="00D108AA" w:rsidRDefault="00370500" w:rsidP="00B1612B">
      <w:pPr>
        <w:pStyle w:val="Heading3"/>
      </w:pPr>
      <w:r w:rsidRPr="00D108AA">
        <w:t xml:space="preserve">a. </w:t>
      </w:r>
      <w:r w:rsidR="00D724E2">
        <w:t xml:space="preserve"> </w:t>
      </w:r>
      <w:r w:rsidRPr="00D108AA">
        <w:t>Account Limitations</w:t>
      </w:r>
      <w:r w:rsidR="001C7312" w:rsidRPr="00D108AA">
        <w:t xml:space="preserve"> </w:t>
      </w:r>
    </w:p>
    <w:p w14:paraId="6B1DBB93" w14:textId="77777777" w:rsidR="001C7312" w:rsidRDefault="001C7312" w:rsidP="001C7312">
      <w:pPr>
        <w:pStyle w:val="CU-01Bodycopystandard"/>
      </w:pPr>
      <w:r w:rsidRPr="001C7312">
        <w:t>After you start the account</w:t>
      </w:r>
      <w:r>
        <w:t xml:space="preserve">, you may not make additional deposits to a </w:t>
      </w:r>
      <w:r w:rsidR="00A8436E">
        <w:t>Certificate A</w:t>
      </w:r>
      <w:r w:rsidR="00A8436E" w:rsidRPr="005A3025">
        <w:t>ccount</w:t>
      </w:r>
      <w:r>
        <w:t>.</w:t>
      </w:r>
    </w:p>
    <w:p w14:paraId="6EB1EE6F" w14:textId="01915F68" w:rsidR="001C7312" w:rsidRDefault="001C7312" w:rsidP="00B1612B">
      <w:pPr>
        <w:pStyle w:val="Heading3"/>
      </w:pPr>
      <w:r w:rsidRPr="00370500">
        <w:lastRenderedPageBreak/>
        <w:t>b.</w:t>
      </w:r>
      <w:r w:rsidR="00D724E2">
        <w:t xml:space="preserve"> </w:t>
      </w:r>
      <w:r w:rsidRPr="00370500">
        <w:t>Maturity</w:t>
      </w:r>
      <w:r>
        <w:t xml:space="preserve"> </w:t>
      </w:r>
    </w:p>
    <w:p w14:paraId="3B15183A" w14:textId="77777777" w:rsidR="001C7312" w:rsidRDefault="001C7312" w:rsidP="001C7312">
      <w:pPr>
        <w:pStyle w:val="CU-01Bodycopystandard"/>
      </w:pPr>
      <w:r w:rsidRPr="001C7312">
        <w:t>The</w:t>
      </w:r>
      <w:r>
        <w:t xml:space="preserve"> </w:t>
      </w:r>
      <w:r w:rsidR="00A8436E">
        <w:t>Certificate A</w:t>
      </w:r>
      <w:r w:rsidR="00A8436E" w:rsidRPr="005A3025">
        <w:t>ccount</w:t>
      </w:r>
      <w:r w:rsidR="00A8436E">
        <w:t xml:space="preserve"> </w:t>
      </w:r>
      <w:r w:rsidRPr="001C7312">
        <w:t>you have with us</w:t>
      </w:r>
      <w:r w:rsidRPr="005A3025">
        <w:t xml:space="preserve"> will mature on the maturity date </w:t>
      </w:r>
      <w:r w:rsidRPr="001C7312">
        <w:t>identified</w:t>
      </w:r>
      <w:r w:rsidRPr="005A3025">
        <w:t xml:space="preserve"> on your Account Receipt or Renewal Notice</w:t>
      </w:r>
      <w:r>
        <w:t>.</w:t>
      </w:r>
    </w:p>
    <w:p w14:paraId="334F454F" w14:textId="541473DE" w:rsidR="001C7312" w:rsidRDefault="00370500" w:rsidP="00B1612B">
      <w:pPr>
        <w:pStyle w:val="Heading3"/>
      </w:pPr>
      <w:r>
        <w:t>c.</w:t>
      </w:r>
      <w:r w:rsidR="00D724E2">
        <w:t xml:space="preserve"> </w:t>
      </w:r>
      <w:r>
        <w:t>Early Withdrawal Penalty</w:t>
      </w:r>
      <w:r w:rsidR="001C7312">
        <w:t xml:space="preserve"> </w:t>
      </w:r>
    </w:p>
    <w:p w14:paraId="0322B22F" w14:textId="77777777" w:rsidR="001C7312" w:rsidRDefault="001C7312" w:rsidP="001C7312">
      <w:pPr>
        <w:pStyle w:val="CU-01Bodycopystandard"/>
      </w:pPr>
      <w:r w:rsidRPr="005A3025">
        <w:t xml:space="preserve">We may impose a penalty if you withdraw any of the principal of </w:t>
      </w:r>
      <w:r w:rsidRPr="001C7312">
        <w:t>the</w:t>
      </w:r>
      <w:r>
        <w:t xml:space="preserve"> </w:t>
      </w:r>
      <w:r w:rsidR="00A8436E">
        <w:t>Certificate Account</w:t>
      </w:r>
      <w:r w:rsidRPr="005A3025">
        <w:t xml:space="preserve"> before the maturity date</w:t>
      </w:r>
      <w:r>
        <w:t>.</w:t>
      </w:r>
    </w:p>
    <w:p w14:paraId="651A5751" w14:textId="31453724" w:rsidR="001C7312" w:rsidRDefault="00993BB1" w:rsidP="001C7312">
      <w:pPr>
        <w:pStyle w:val="CU-01Bodycopystandard"/>
      </w:pPr>
      <w:r w:rsidRPr="008D6241">
        <w:rPr>
          <w:b/>
        </w:rPr>
        <w:t>1)</w:t>
      </w:r>
      <w:r w:rsidR="001C7312" w:rsidRPr="008D6241">
        <w:rPr>
          <w:b/>
        </w:rPr>
        <w:t xml:space="preserve"> Amount of Penalty. </w:t>
      </w:r>
      <w:r w:rsidR="00716382" w:rsidRPr="008D6241">
        <w:t xml:space="preserve">The amount of the early withdrawal penalty is </w:t>
      </w:r>
      <w:r w:rsidR="007B22BA" w:rsidRPr="008D6241">
        <w:t>up to 180</w:t>
      </w:r>
      <w:r w:rsidR="00716382" w:rsidRPr="008D6241">
        <w:t xml:space="preserve"> days dividends </w:t>
      </w:r>
      <w:r w:rsidR="007B22BA" w:rsidRPr="008D6241">
        <w:t xml:space="preserve">(depending on the original term of the certificate) </w:t>
      </w:r>
      <w:r w:rsidR="00716382" w:rsidRPr="008D6241">
        <w:t>calculated on the amount withdrawn</w:t>
      </w:r>
      <w:r w:rsidR="001C7312" w:rsidRPr="008D6241">
        <w:t>.</w:t>
      </w:r>
      <w:r w:rsidR="001C7312">
        <w:t xml:space="preserve"> </w:t>
      </w:r>
    </w:p>
    <w:p w14:paraId="3E9498A4" w14:textId="6D952AFE" w:rsidR="001C7312" w:rsidRDefault="00993BB1" w:rsidP="001C7312">
      <w:pPr>
        <w:pStyle w:val="CU-01Bodycopystandard"/>
      </w:pPr>
      <w:r>
        <w:rPr>
          <w:b/>
        </w:rPr>
        <w:t>2)</w:t>
      </w:r>
      <w:r w:rsidR="00D724E2">
        <w:rPr>
          <w:b/>
        </w:rPr>
        <w:t xml:space="preserve"> </w:t>
      </w:r>
      <w:r w:rsidR="001C7312">
        <w:rPr>
          <w:b/>
        </w:rPr>
        <w:t xml:space="preserve">How the Penalty Works. </w:t>
      </w:r>
      <w:r w:rsidR="00716382" w:rsidRPr="00716382">
        <w:t xml:space="preserve">The penalty is calculated as a forfeiture of part of the </w:t>
      </w:r>
      <w:r w:rsidR="00716382">
        <w:t>dividend</w:t>
      </w:r>
      <w:r w:rsidR="00716382" w:rsidRPr="00716382">
        <w:t xml:space="preserve"> that has been or would be earned at the nominal </w:t>
      </w:r>
      <w:r w:rsidR="00716382">
        <w:t>dividend</w:t>
      </w:r>
      <w:r w:rsidR="00716382" w:rsidRPr="00716382">
        <w:t xml:space="preserve"> rate on the account. It applies whether or not the </w:t>
      </w:r>
      <w:r w:rsidR="00716382">
        <w:t>dividend</w:t>
      </w:r>
      <w:r w:rsidR="00716382" w:rsidRPr="00716382">
        <w:t xml:space="preserve"> has been earned. In other words, if the account has not yet earned enough </w:t>
      </w:r>
      <w:r w:rsidR="00716382">
        <w:t>dividends</w:t>
      </w:r>
      <w:r w:rsidR="00716382" w:rsidRPr="00716382">
        <w:t xml:space="preserve"> or if the </w:t>
      </w:r>
      <w:r w:rsidR="00716382">
        <w:t>dividend</w:t>
      </w:r>
      <w:r w:rsidR="00716382" w:rsidRPr="00716382">
        <w:t xml:space="preserve"> has already been paid, the penalty will be deducted from the principal</w:t>
      </w:r>
      <w:r w:rsidR="001C7312">
        <w:t>.</w:t>
      </w:r>
    </w:p>
    <w:p w14:paraId="066FCBFB" w14:textId="77777777" w:rsidR="00D85FCB" w:rsidRDefault="00993BB1" w:rsidP="00D85FCB">
      <w:pPr>
        <w:pStyle w:val="CU-01Bodycopystandard"/>
      </w:pPr>
      <w:r>
        <w:rPr>
          <w:b/>
        </w:rPr>
        <w:t>3)</w:t>
      </w:r>
      <w:r w:rsidR="001C7312">
        <w:rPr>
          <w:b/>
        </w:rPr>
        <w:t xml:space="preserve"> Exceptions to Early Withdrawal Penalties. </w:t>
      </w:r>
      <w:r w:rsidR="00D85FCB" w:rsidRPr="007D7252">
        <w:t>At our option, we may pay the account before maturity without imposing an early withdrawal penalty under the following circumstances:</w:t>
      </w:r>
      <w:r w:rsidR="00D85FCB">
        <w:t xml:space="preserve"> </w:t>
      </w:r>
      <w:r w:rsidR="00D85FCB" w:rsidRPr="007D7252">
        <w:t xml:space="preserve">when an owner </w:t>
      </w:r>
      <w:r w:rsidR="00D85FCB" w:rsidRPr="001C7312">
        <w:t>on an account</w:t>
      </w:r>
      <w:r w:rsidR="00D85FCB">
        <w:t xml:space="preserve"> </w:t>
      </w:r>
      <w:r w:rsidR="00D85FCB" w:rsidRPr="007D7252">
        <w:t>dies or is determined legally incompetent by a court or other body of competent jurisdiction. Where the account is an Individual Retirement Account (IRA) and any portion is paid within seven (7) days after establishment or where the account is an I</w:t>
      </w:r>
      <w:r w:rsidR="00D85FCB">
        <w:t>RA and the owner attains age 59</w:t>
      </w:r>
      <w:r w:rsidR="00D85FCB" w:rsidRPr="007D7252">
        <w:t>½ or becomes disabled and begins making periodic withdrawals.</w:t>
      </w:r>
    </w:p>
    <w:p w14:paraId="4678D804" w14:textId="09F11A74" w:rsidR="001C7312" w:rsidRDefault="00370500" w:rsidP="00D85FCB">
      <w:pPr>
        <w:pStyle w:val="Heading3"/>
      </w:pPr>
      <w:r>
        <w:t>d.</w:t>
      </w:r>
      <w:r w:rsidR="00D724E2">
        <w:t xml:space="preserve"> </w:t>
      </w:r>
      <w:r>
        <w:t>Renewal Policy</w:t>
      </w:r>
    </w:p>
    <w:p w14:paraId="2503E261" w14:textId="05F0D68D" w:rsidR="001C7312" w:rsidRDefault="00A8436E" w:rsidP="001C7312">
      <w:pPr>
        <w:pStyle w:val="CU-01Bodycopystandard"/>
      </w:pPr>
      <w:r w:rsidRPr="008D6241">
        <w:t>Certificate Account</w:t>
      </w:r>
      <w:r w:rsidR="001C7312" w:rsidRPr="008D6241">
        <w:t>s are automatically renewable accounts. Automatically renewable accounts will renew for another term upon maturity. You have a grace period of ten</w:t>
      </w:r>
      <w:r w:rsidRPr="008D6241">
        <w:t xml:space="preserve"> (10) </w:t>
      </w:r>
      <w:r w:rsidR="001C7312" w:rsidRPr="008D6241">
        <w:t>days after maturity in which to withdraw funds in the account without being charged an early withdrawal penalty.</w:t>
      </w:r>
      <w:r w:rsidR="00BF5BB9" w:rsidRPr="008D6241">
        <w:t xml:space="preserve"> CD Specials </w:t>
      </w:r>
      <w:proofErr w:type="gramStart"/>
      <w:r w:rsidR="00BF5BB9" w:rsidRPr="008D6241">
        <w:t>do</w:t>
      </w:r>
      <w:proofErr w:type="gramEnd"/>
      <w:r w:rsidR="00BF5BB9" w:rsidRPr="008D6241">
        <w:t xml:space="preserve"> not automatically renew.</w:t>
      </w:r>
    </w:p>
    <w:p w14:paraId="21105D4F" w14:textId="56EA2D6C" w:rsidR="001C7312" w:rsidRPr="00CB43EE" w:rsidRDefault="001C7312" w:rsidP="00B1612B">
      <w:pPr>
        <w:pStyle w:val="Heading3"/>
      </w:pPr>
      <w:r w:rsidRPr="00CB43EE">
        <w:t>e</w:t>
      </w:r>
      <w:r w:rsidR="00D724E2">
        <w:t xml:space="preserve">. </w:t>
      </w:r>
      <w:r w:rsidR="00370500">
        <w:t>Nontransferable/Nonnegotiable</w:t>
      </w:r>
      <w:r w:rsidRPr="00CB43EE">
        <w:t xml:space="preserve"> </w:t>
      </w:r>
    </w:p>
    <w:p w14:paraId="0BD870C6" w14:textId="77777777" w:rsidR="000228AC" w:rsidRDefault="001C7312" w:rsidP="001C7312">
      <w:pPr>
        <w:pStyle w:val="CU-01Bodycopystandard"/>
      </w:pPr>
      <w:r w:rsidRPr="001C7312">
        <w:t>The</w:t>
      </w:r>
      <w:r w:rsidRPr="005A3025">
        <w:t xml:space="preserve"> account</w:t>
      </w:r>
      <w:r w:rsidRPr="001C7312">
        <w:t>(s)</w:t>
      </w:r>
      <w:r>
        <w:t xml:space="preserve"> </w:t>
      </w:r>
      <w:r w:rsidRPr="001C7312">
        <w:t>you have with us</w:t>
      </w:r>
      <w:r w:rsidRPr="005A3025">
        <w:t xml:space="preserve"> is</w:t>
      </w:r>
      <w:r w:rsidRPr="001C7312">
        <w:t>/are</w:t>
      </w:r>
      <w:r w:rsidRPr="005A3025">
        <w:t xml:space="preserve"> nont</w:t>
      </w:r>
      <w:r>
        <w:t xml:space="preserve">ransferable and nonnegotiable. </w:t>
      </w:r>
      <w:r w:rsidRPr="001C7312">
        <w:t>This means that an account and t</w:t>
      </w:r>
      <w:r w:rsidRPr="005A3025">
        <w:t xml:space="preserve">he funds in </w:t>
      </w:r>
      <w:r w:rsidRPr="001C7312">
        <w:t>the</w:t>
      </w:r>
      <w:r>
        <w:t xml:space="preserve"> </w:t>
      </w:r>
      <w:r w:rsidRPr="005A3025">
        <w:t>account may not be pledged to secure any obligation of an owner, except obligations with the Credit Union</w:t>
      </w:r>
      <w:r w:rsidR="000228AC" w:rsidRPr="00533352">
        <w:t>.</w:t>
      </w:r>
    </w:p>
    <w:p w14:paraId="6637EA94" w14:textId="69CF3CDE" w:rsidR="003C26AC" w:rsidRPr="00604800" w:rsidRDefault="003C26AC" w:rsidP="003C26AC">
      <w:pPr>
        <w:pStyle w:val="Heading2"/>
      </w:pPr>
      <w:r>
        <w:t>8</w:t>
      </w:r>
      <w:r w:rsidRPr="00604800">
        <w:t>.</w:t>
      </w:r>
      <w:r w:rsidR="00C35F8F">
        <w:t xml:space="preserve"> </w:t>
      </w:r>
      <w:r w:rsidRPr="00604800">
        <w:t>Kasasa Account Features</w:t>
      </w:r>
    </w:p>
    <w:p w14:paraId="0A2F22EF" w14:textId="77777777" w:rsidR="003C26AC" w:rsidRPr="00BC0DDC" w:rsidRDefault="003C26AC" w:rsidP="003C26AC">
      <w:pPr>
        <w:pStyle w:val="CU-01Bodycopystandard"/>
      </w:pPr>
      <w:r w:rsidRPr="00BC0DDC">
        <w:t xml:space="preserve">There is a limit of one Kasasa account per </w:t>
      </w:r>
      <w:r>
        <w:t>social security number</w:t>
      </w:r>
      <w:r w:rsidRPr="00BC0DDC">
        <w:t xml:space="preserve">. No </w:t>
      </w:r>
      <w:r>
        <w:t xml:space="preserve">business </w:t>
      </w:r>
      <w:r w:rsidRPr="00BC0DDC">
        <w:t xml:space="preserve">accounts may participate in this program. The following features are unique to Kasasa accounts: </w:t>
      </w:r>
    </w:p>
    <w:p w14:paraId="4D5BF0BB" w14:textId="77777777" w:rsidR="003C26AC" w:rsidRPr="00604800" w:rsidRDefault="003C26AC" w:rsidP="003C26AC">
      <w:pPr>
        <w:pStyle w:val="Heading4"/>
      </w:pPr>
      <w:r w:rsidRPr="00604800">
        <w:t>a.</w:t>
      </w:r>
      <w:r w:rsidRPr="00604800">
        <w:tab/>
        <w:t xml:space="preserve">Account Qualifications </w:t>
      </w:r>
    </w:p>
    <w:p w14:paraId="5B2F21D4" w14:textId="04E57A63" w:rsidR="003C26AC" w:rsidRPr="00C35F8F" w:rsidRDefault="003C26AC" w:rsidP="003C26AC">
      <w:pPr>
        <w:pStyle w:val="CU-01Bodycopystandard"/>
        <w:rPr>
          <w:spacing w:val="-2"/>
        </w:rPr>
      </w:pPr>
      <w:r w:rsidRPr="008D6241">
        <w:rPr>
          <w:spacing w:val="-2"/>
        </w:rPr>
        <w:t xml:space="preserve">In order to earn the Qualifying Rate for the dividend period specified in the schedule above and to qualify for additional benefits as described below for a particular monthly qualification cycle, Kasasa Cash and Kasasa Cash Back </w:t>
      </w:r>
      <w:r w:rsidR="00C35F8F" w:rsidRPr="008D6241">
        <w:rPr>
          <w:spacing w:val="-2"/>
        </w:rPr>
        <w:t xml:space="preserve">and Kasasa Tunes checking </w:t>
      </w:r>
      <w:r w:rsidRPr="008D6241">
        <w:rPr>
          <w:spacing w:val="-2"/>
        </w:rPr>
        <w:t>accounts must satisfy the following requirements in the previous monthly qualification cycle:</w:t>
      </w:r>
      <w:r w:rsidR="00C35F8F" w:rsidRPr="008D6241">
        <w:rPr>
          <w:spacing w:val="-2"/>
        </w:rPr>
        <w:t xml:space="preserve"> </w:t>
      </w:r>
      <w:r w:rsidRPr="008D6241">
        <w:rPr>
          <w:spacing w:val="-2"/>
        </w:rPr>
        <w:t>1) at least one direct deposit, ACH credit or ACH payment transaction; 2) at least 15 debit card purchases</w:t>
      </w:r>
      <w:r w:rsidR="00C35F8F" w:rsidRPr="008D6241">
        <w:rPr>
          <w:spacing w:val="-2"/>
        </w:rPr>
        <w:t>;</w:t>
      </w:r>
      <w:r w:rsidRPr="008D6241">
        <w:rPr>
          <w:spacing w:val="-2"/>
        </w:rPr>
        <w:t xml:space="preserve"> 3) you </w:t>
      </w:r>
      <w:r w:rsidR="00C35F8F" w:rsidRPr="008D6241">
        <w:rPr>
          <w:spacing w:val="-2"/>
        </w:rPr>
        <w:t xml:space="preserve">be enrolled in and </w:t>
      </w:r>
      <w:r w:rsidRPr="008D6241">
        <w:rPr>
          <w:spacing w:val="-2"/>
        </w:rPr>
        <w:t>receive monthly e-Statements</w:t>
      </w:r>
      <w:r w:rsidR="00BF5BB9" w:rsidRPr="008D6241">
        <w:rPr>
          <w:spacing w:val="-2"/>
        </w:rPr>
        <w:t>; 4) must log into home banking</w:t>
      </w:r>
      <w:r w:rsidRPr="008D6241">
        <w:rPr>
          <w:spacing w:val="-2"/>
        </w:rPr>
        <w:t xml:space="preserve">. Please note that transactions MUST </w:t>
      </w:r>
      <w:proofErr w:type="gramStart"/>
      <w:r w:rsidRPr="008D6241">
        <w:rPr>
          <w:spacing w:val="-2"/>
        </w:rPr>
        <w:t>actually post</w:t>
      </w:r>
      <w:proofErr w:type="gramEnd"/>
      <w:r w:rsidRPr="008D6241">
        <w:rPr>
          <w:spacing w:val="-2"/>
        </w:rPr>
        <w:t xml:space="preserve"> to </w:t>
      </w:r>
      <w:r w:rsidR="00C35F8F" w:rsidRPr="008D6241">
        <w:rPr>
          <w:spacing w:val="-2"/>
        </w:rPr>
        <w:t>the</w:t>
      </w:r>
      <w:r w:rsidRPr="008D6241">
        <w:rPr>
          <w:spacing w:val="-2"/>
        </w:rPr>
        <w:t xml:space="preserve"> account during the monthly qualification cycle. Transactions may take one or more banking days from the date the transaction was made to post to </w:t>
      </w:r>
      <w:r w:rsidR="00C35F8F" w:rsidRPr="008D6241">
        <w:rPr>
          <w:spacing w:val="-2"/>
        </w:rPr>
        <w:t>the</w:t>
      </w:r>
      <w:r w:rsidRPr="008D6241">
        <w:rPr>
          <w:spacing w:val="-2"/>
        </w:rPr>
        <w:t xml:space="preserve"> account. Transactions that have been initiated but not posted as of the end of the cycle will not count as a qualifying transaction for that cycle (but will count in the following cycle when they post).</w:t>
      </w:r>
      <w:r w:rsidR="00766C86" w:rsidRPr="008D6241">
        <w:rPr>
          <w:spacing w:val="-2"/>
        </w:rPr>
        <w:t xml:space="preserve"> The monthly qualification cycle is the statement cycle immediately preceding the current statement cycle. The statement cycle is the </w:t>
      </w:r>
      <w:proofErr w:type="gramStart"/>
      <w:r w:rsidR="00766C86" w:rsidRPr="008D6241">
        <w:rPr>
          <w:spacing w:val="-2"/>
        </w:rPr>
        <w:t>time period</w:t>
      </w:r>
      <w:proofErr w:type="gramEnd"/>
      <w:r w:rsidR="00766C86" w:rsidRPr="008D6241">
        <w:rPr>
          <w:spacing w:val="-2"/>
        </w:rPr>
        <w:t xml:space="preserve"> covered by your monthly statement.</w:t>
      </w:r>
      <w:r w:rsidRPr="008D6241">
        <w:rPr>
          <w:spacing w:val="-2"/>
        </w:rPr>
        <w:t xml:space="preserve"> </w:t>
      </w:r>
      <w:r w:rsidR="00766C86" w:rsidRPr="008D6241">
        <w:t>In addition, if you have met your qualifications during the monthly qualification cycle, we will reimburse you for ATM fees imposed during the cycle by us and other U.S. financial institutions, up to a maximum of $25.00 per cycle. ATM fee rebates will be transferred to your Kasasa Saver account.</w:t>
      </w:r>
    </w:p>
    <w:p w14:paraId="4F737875" w14:textId="421E87E2" w:rsidR="00766C86" w:rsidRPr="00604800" w:rsidRDefault="00CD5D79" w:rsidP="00766C86">
      <w:pPr>
        <w:pStyle w:val="Heading4"/>
      </w:pPr>
      <w:r>
        <w:br w:type="column"/>
      </w:r>
      <w:r w:rsidR="00766C86">
        <w:t>b</w:t>
      </w:r>
      <w:r w:rsidR="00766C86" w:rsidRPr="00604800">
        <w:t>.</w:t>
      </w:r>
      <w:r w:rsidR="00766C86" w:rsidRPr="00604800">
        <w:tab/>
      </w:r>
      <w:r w:rsidR="00766C86">
        <w:t>Kasasa Saver Accounts</w:t>
      </w:r>
      <w:r w:rsidR="00766C86" w:rsidRPr="00604800">
        <w:t xml:space="preserve"> </w:t>
      </w:r>
    </w:p>
    <w:p w14:paraId="3A31B16F" w14:textId="4FAAB05C" w:rsidR="003C26AC" w:rsidRPr="00877CBF" w:rsidRDefault="003C26AC" w:rsidP="003C26AC">
      <w:pPr>
        <w:pStyle w:val="CU-01Bodycopystandard"/>
        <w:rPr>
          <w:spacing w:val="-2"/>
        </w:rPr>
      </w:pPr>
      <w:r w:rsidRPr="00877CBF">
        <w:rPr>
          <w:spacing w:val="-2"/>
        </w:rPr>
        <w:t>For Kasasa Saver accounts, if the linked checking account satisfies the qualification requirements for a monthly qualification cycle, the Kasasa Saver account will earn the qualifying rate for that cycle. Otherwise, the Kasasa Saver Account will earn the non</w:t>
      </w:r>
      <w:r w:rsidR="00766C86">
        <w:rPr>
          <w:spacing w:val="-2"/>
        </w:rPr>
        <w:t>-</w:t>
      </w:r>
      <w:r w:rsidRPr="00877CBF">
        <w:rPr>
          <w:spacing w:val="-2"/>
        </w:rPr>
        <w:t xml:space="preserve">qualifying rate for that cycle. </w:t>
      </w:r>
    </w:p>
    <w:p w14:paraId="1BE10E80" w14:textId="33F7F2B4" w:rsidR="00766C86" w:rsidRPr="00604800" w:rsidRDefault="00766C86" w:rsidP="00766C86">
      <w:pPr>
        <w:pStyle w:val="Heading4"/>
      </w:pPr>
      <w:r w:rsidRPr="00604800">
        <w:t>a.</w:t>
      </w:r>
      <w:r w:rsidRPr="00604800">
        <w:tab/>
      </w:r>
      <w:r>
        <w:t>Kasasa Cash Back Checking</w:t>
      </w:r>
      <w:r w:rsidRPr="00604800">
        <w:t xml:space="preserve"> </w:t>
      </w:r>
    </w:p>
    <w:p w14:paraId="3705EBF1" w14:textId="5FDE5CD7" w:rsidR="000228AC" w:rsidRDefault="00C35F8F" w:rsidP="00C35F8F">
      <w:pPr>
        <w:pStyle w:val="CU-01Bodycopystandard"/>
      </w:pPr>
      <w:r>
        <w:t>Y</w:t>
      </w:r>
      <w:r w:rsidRPr="00FB53AD">
        <w:t xml:space="preserve">ou will receive a cash rebate of </w:t>
      </w:r>
      <w:r>
        <w:t>3</w:t>
      </w:r>
      <w:r w:rsidRPr="00FB53AD">
        <w:t>.0% of the amount of debit card purchases posted to your account during that cycle</w:t>
      </w:r>
      <w:r w:rsidR="00CD5D79">
        <w:t xml:space="preserve"> for a maximum</w:t>
      </w:r>
      <w:r w:rsidR="00766C86">
        <w:t xml:space="preserve"> of $9.00 per cycle, if qualifications are met.</w:t>
      </w:r>
      <w:r>
        <w:t xml:space="preserve"> </w:t>
      </w:r>
      <w:r w:rsidR="00766C86" w:rsidRPr="00BC0DDC">
        <w:t xml:space="preserve">If you believe that you have not been reimbursed the correct amount, please contact us. We must hear from you no later than 30 days after the statement cycle when the reimbursement was applicable. </w:t>
      </w:r>
    </w:p>
    <w:p w14:paraId="2486909A" w14:textId="6918FD14" w:rsidR="00C35F8F" w:rsidRDefault="00C35F8F" w:rsidP="00C35F8F">
      <w:pPr>
        <w:pStyle w:val="Heading3"/>
      </w:pPr>
      <w:r>
        <w:t>d. Kasasa Tunes Checking</w:t>
      </w:r>
    </w:p>
    <w:p w14:paraId="59662668" w14:textId="598A1B87" w:rsidR="00C35F8F" w:rsidRPr="00A95FDE" w:rsidRDefault="00C35F8F" w:rsidP="00C35F8F">
      <w:pPr>
        <w:pStyle w:val="CU-01Bodycopystandard"/>
      </w:pPr>
      <w:r>
        <w:t xml:space="preserve">You will be refunded up to $30 for iTunes®, </w:t>
      </w:r>
      <w:r w:rsidRPr="008C3D82">
        <w:t>Amazon.com®</w:t>
      </w:r>
      <w:r>
        <w:t xml:space="preserve">, or Google </w:t>
      </w:r>
      <w:proofErr w:type="spellStart"/>
      <w:r>
        <w:t>Play</w:t>
      </w:r>
      <w:r w:rsidRPr="00C35F8F">
        <w:rPr>
          <w:vertAlign w:val="superscript"/>
        </w:rPr>
        <w:t>TM</w:t>
      </w:r>
      <w:proofErr w:type="spellEnd"/>
      <w:r w:rsidRPr="008C3D82">
        <w:t xml:space="preserve"> purchases that post to </w:t>
      </w:r>
      <w:r>
        <w:t>your</w:t>
      </w:r>
      <w:r w:rsidRPr="008C3D82">
        <w:t xml:space="preserve"> account if qualifications are met</w:t>
      </w:r>
      <w:r>
        <w:t>,</w:t>
      </w:r>
      <w:r w:rsidRPr="008C3D82">
        <w:t xml:space="preserve"> during </w:t>
      </w:r>
      <w:r>
        <w:t xml:space="preserve">your first </w:t>
      </w:r>
      <w:r w:rsidRPr="008C3D82">
        <w:t xml:space="preserve">monthly qualification cycle. </w:t>
      </w:r>
      <w:r>
        <w:t xml:space="preserve">After that, you </w:t>
      </w:r>
      <w:r w:rsidRPr="008C3D82">
        <w:t>will be refunded up to $</w:t>
      </w:r>
      <w:r>
        <w:t xml:space="preserve">15 for iTunes®, </w:t>
      </w:r>
      <w:r w:rsidRPr="008C3D82">
        <w:t>Amazon.com®</w:t>
      </w:r>
      <w:r>
        <w:t xml:space="preserve">, or Google </w:t>
      </w:r>
      <w:proofErr w:type="spellStart"/>
      <w:r>
        <w:t>Play</w:t>
      </w:r>
      <w:r w:rsidRPr="00C35F8F">
        <w:rPr>
          <w:vertAlign w:val="superscript"/>
        </w:rPr>
        <w:t>TM</w:t>
      </w:r>
      <w:proofErr w:type="spellEnd"/>
      <w:r w:rsidRPr="008C3D82">
        <w:t xml:space="preserve"> purchases that post to </w:t>
      </w:r>
      <w:r>
        <w:t>your</w:t>
      </w:r>
      <w:r w:rsidRPr="008C3D82">
        <w:t xml:space="preserve"> account if qualifications are met</w:t>
      </w:r>
      <w:r>
        <w:t>,</w:t>
      </w:r>
      <w:r w:rsidRPr="008C3D82">
        <w:t xml:space="preserve"> during </w:t>
      </w:r>
      <w:r>
        <w:t xml:space="preserve">the </w:t>
      </w:r>
      <w:r w:rsidRPr="008C3D82">
        <w:t xml:space="preserve">previous monthly qualification cycle. Purchases must be made with </w:t>
      </w:r>
      <w:r>
        <w:t xml:space="preserve">a </w:t>
      </w:r>
      <w:r w:rsidRPr="008C3D82">
        <w:t>debit card associated with your Kasasa Tunes account.</w:t>
      </w:r>
      <w:r>
        <w:t xml:space="preserve"> Purchases must </w:t>
      </w:r>
      <w:proofErr w:type="gramStart"/>
      <w:r>
        <w:t>post</w:t>
      </w:r>
      <w:proofErr w:type="gramEnd"/>
      <w:r>
        <w:t xml:space="preserve"> to your account within 30 days after the end of the qualifying cycle in which refunds </w:t>
      </w:r>
      <w:proofErr w:type="gramStart"/>
      <w:r>
        <w:t>were</w:t>
      </w:r>
      <w:proofErr w:type="gramEnd"/>
      <w:r>
        <w:t xml:space="preserve"> earned or the refund credit for that cycle will be forfeited.  </w:t>
      </w:r>
      <w:r w:rsidRPr="008C3D82">
        <w:t xml:space="preserve">Refunds will be credited to </w:t>
      </w:r>
      <w:r>
        <w:t xml:space="preserve">your </w:t>
      </w:r>
      <w:r w:rsidRPr="008C3D82">
        <w:t xml:space="preserve">account on the last day of </w:t>
      </w:r>
      <w:r>
        <w:t xml:space="preserve">the </w:t>
      </w:r>
      <w:r w:rsidRPr="008C3D82">
        <w:t xml:space="preserve">statement cycle in which refundable purchases were made. iTunes is a registered trademark of Apple, Inc. and Amazon.com is a registered trademark of Amazon Inc. Apple Inc. and Amazon Inc. are not </w:t>
      </w:r>
      <w:proofErr w:type="gramStart"/>
      <w:r w:rsidRPr="008C3D82">
        <w:t>participants in</w:t>
      </w:r>
      <w:proofErr w:type="gramEnd"/>
      <w:r w:rsidRPr="008C3D82">
        <w:t xml:space="preserve"> or sponsors of this program.</w:t>
      </w:r>
      <w:r w:rsidRPr="00A95FDE">
        <w:t xml:space="preserve"> </w:t>
      </w:r>
    </w:p>
    <w:p w14:paraId="6E4E7704" w14:textId="77777777" w:rsidR="00C35F8F" w:rsidRDefault="00C35F8F" w:rsidP="00C42EC5">
      <w:pPr>
        <w:pStyle w:val="CU-02Bulletsstandard"/>
        <w:sectPr w:rsidR="00C35F8F" w:rsidSect="00CD5D79">
          <w:type w:val="continuous"/>
          <w:pgSz w:w="12240" w:h="15840" w:code="1"/>
          <w:pgMar w:top="900" w:right="720" w:bottom="810" w:left="720" w:header="432" w:footer="432" w:gutter="0"/>
          <w:cols w:num="2" w:space="288"/>
          <w:titlePg/>
          <w:docGrid w:linePitch="360"/>
        </w:sectPr>
      </w:pPr>
    </w:p>
    <w:p w14:paraId="5338C392" w14:textId="77777777" w:rsidR="000228AC" w:rsidRPr="00047D7E" w:rsidRDefault="001C7312" w:rsidP="002B56A2">
      <w:pPr>
        <w:pStyle w:val="Heading1"/>
        <w:spacing w:after="0"/>
      </w:pPr>
      <w:r>
        <w:lastRenderedPageBreak/>
        <w:t xml:space="preserve">Our </w:t>
      </w:r>
      <w:r w:rsidR="009C5F8C">
        <w:t>Service Charges</w:t>
      </w:r>
    </w:p>
    <w:p w14:paraId="43B3A044" w14:textId="77777777" w:rsidR="000228AC" w:rsidRPr="00D064C5" w:rsidRDefault="000228AC" w:rsidP="00D064C5">
      <w:pPr>
        <w:pStyle w:val="CU-01Bodycopystandard"/>
        <w:spacing w:after="0" w:line="240" w:lineRule="auto"/>
        <w:rPr>
          <w:sz w:val="8"/>
          <w:szCs w:val="8"/>
        </w:rPr>
      </w:pPr>
    </w:p>
    <w:p w14:paraId="5D181D94" w14:textId="77777777" w:rsidR="000228AC" w:rsidRDefault="000228AC" w:rsidP="000228AC">
      <w:pPr>
        <w:pStyle w:val="CU-01Bodycopystandard"/>
        <w:sectPr w:rsidR="000228AC" w:rsidSect="0021048C">
          <w:headerReference w:type="first" r:id="rId12"/>
          <w:pgSz w:w="12240" w:h="15840" w:code="1"/>
          <w:pgMar w:top="720" w:right="720" w:bottom="1080" w:left="720" w:header="432" w:footer="432" w:gutter="0"/>
          <w:cols w:space="288"/>
          <w:titlePg/>
          <w:docGrid w:linePitch="360"/>
        </w:sectPr>
      </w:pPr>
    </w:p>
    <w:p w14:paraId="4A6CDCCB" w14:textId="77777777" w:rsidR="001C59AB" w:rsidRPr="001C59AB" w:rsidRDefault="001C59AB" w:rsidP="00CD5D79">
      <w:pPr>
        <w:pStyle w:val="CU-10FeeSchedule2column"/>
        <w:spacing w:before="80" w:line="210" w:lineRule="exact"/>
        <w:rPr>
          <w:b/>
        </w:rPr>
      </w:pPr>
      <w:r w:rsidRPr="001C59AB">
        <w:rPr>
          <w:b/>
        </w:rPr>
        <w:t>Share Account Charges</w:t>
      </w:r>
    </w:p>
    <w:p w14:paraId="68E5D004" w14:textId="77777777" w:rsidR="002B56A2" w:rsidRPr="002B56A2" w:rsidRDefault="002B56A2" w:rsidP="00CD5D79">
      <w:pPr>
        <w:pStyle w:val="StyleCU-10FeeSchedule2columnBefore6ptLinespacingE"/>
      </w:pPr>
      <w:r w:rsidRPr="002B56A2">
        <w:t>Minimum Opening Balance (Share 1)</w:t>
      </w:r>
      <w:r w:rsidRPr="002B56A2">
        <w:tab/>
        <w:t>$25.00</w:t>
      </w:r>
    </w:p>
    <w:p w14:paraId="536A14E7" w14:textId="77777777" w:rsidR="002B56A2" w:rsidRPr="002B56A2" w:rsidRDefault="002B56A2" w:rsidP="00CD5D79">
      <w:pPr>
        <w:pStyle w:val="StyleCU-10FeeSchedule2columnBefore6ptLinespacingE"/>
      </w:pPr>
      <w:r w:rsidRPr="002B56A2">
        <w:t>Membership Closed After Less than 90 Days</w:t>
      </w:r>
      <w:r w:rsidRPr="002B56A2">
        <w:tab/>
        <w:t>$25.00</w:t>
      </w:r>
    </w:p>
    <w:p w14:paraId="27B0BE88" w14:textId="77777777" w:rsidR="002B56A2" w:rsidRPr="002B56A2" w:rsidRDefault="002B56A2" w:rsidP="00CD5D79">
      <w:pPr>
        <w:pStyle w:val="StyleCU-10FeeSchedule2columnBefore6ptLinespacingE"/>
      </w:pPr>
      <w:r w:rsidRPr="002B56A2">
        <w:t>Re-Opening Membership within 1 Year</w:t>
      </w:r>
      <w:r w:rsidRPr="002B56A2">
        <w:tab/>
        <w:t>$25.00</w:t>
      </w:r>
    </w:p>
    <w:p w14:paraId="428A2E5D" w14:textId="010F0C81" w:rsidR="002B56A2" w:rsidRPr="002B56A2" w:rsidRDefault="002B56A2" w:rsidP="00CD5D79">
      <w:pPr>
        <w:pStyle w:val="StyleCU-10FeeSchedule2columnBefore6ptLinespacingE"/>
      </w:pPr>
      <w:r w:rsidRPr="002B56A2">
        <w:t>Share Draft Printing Charge</w:t>
      </w:r>
      <w:r w:rsidRPr="002B56A2">
        <w:tab/>
        <w:t xml:space="preserve">Varies </w:t>
      </w:r>
      <w:r w:rsidR="00871242">
        <w:t>w</w:t>
      </w:r>
      <w:r w:rsidRPr="002B56A2">
        <w:t>ith Check Style</w:t>
      </w:r>
    </w:p>
    <w:p w14:paraId="4A218026" w14:textId="3425C5DC" w:rsidR="002B56A2" w:rsidRPr="002B56A2" w:rsidRDefault="002B56A2" w:rsidP="00CD5D79">
      <w:pPr>
        <w:pStyle w:val="StyleCU-10FeeSchedule2columnBefore6ptLinespacingE"/>
      </w:pPr>
      <w:r w:rsidRPr="002B56A2">
        <w:t xml:space="preserve">Checking Account </w:t>
      </w:r>
      <w:r>
        <w:t>Service Charge</w:t>
      </w:r>
      <w:r w:rsidRPr="002B56A2">
        <w:rPr>
          <w:vertAlign w:val="superscript"/>
        </w:rPr>
        <w:t>1</w:t>
      </w:r>
      <w:r w:rsidRPr="002B56A2">
        <w:tab/>
        <w:t>$0 to $15.00 per month</w:t>
      </w:r>
    </w:p>
    <w:p w14:paraId="023E0DE5" w14:textId="13D72814" w:rsidR="002B56A2" w:rsidRPr="002B56A2" w:rsidRDefault="002B56A2" w:rsidP="00CD5D79">
      <w:pPr>
        <w:pStyle w:val="StyleCU-10FeeSchedule2columnBefore6ptLinespacingE"/>
      </w:pPr>
      <w:r w:rsidRPr="002B56A2">
        <w:t xml:space="preserve">Single Service </w:t>
      </w:r>
      <w:r>
        <w:t>Charge</w:t>
      </w:r>
      <w:r w:rsidRPr="002B56A2">
        <w:rPr>
          <w:vertAlign w:val="superscript"/>
        </w:rPr>
        <w:t>2</w:t>
      </w:r>
      <w:r w:rsidRPr="002B56A2">
        <w:tab/>
        <w:t>$5.00 per month</w:t>
      </w:r>
    </w:p>
    <w:p w14:paraId="01357A1D" w14:textId="0BCA59A7" w:rsidR="001C59AB" w:rsidRPr="007D235F" w:rsidRDefault="002B56A2" w:rsidP="00CD5D79">
      <w:pPr>
        <w:pStyle w:val="StyleCU-10FeeSchedule2columnBefore6ptLinespacingE"/>
      </w:pPr>
      <w:r w:rsidRPr="002B56A2">
        <w:t xml:space="preserve">Dormant Account </w:t>
      </w:r>
      <w:r>
        <w:t>Charge</w:t>
      </w:r>
      <w:r w:rsidRPr="002B56A2">
        <w:rPr>
          <w:vertAlign w:val="superscript"/>
        </w:rPr>
        <w:t>3</w:t>
      </w:r>
      <w:r w:rsidRPr="002B56A2">
        <w:tab/>
        <w:t>$5.00 per month</w:t>
      </w:r>
    </w:p>
    <w:p w14:paraId="29581281" w14:textId="5840BB2C" w:rsidR="007D235F" w:rsidRPr="007D235F" w:rsidRDefault="001C59AB" w:rsidP="00CD5D79">
      <w:pPr>
        <w:pStyle w:val="StyleCU-10FeeSchedule2columnBefore6ptLinespacingE"/>
        <w:ind w:left="0" w:firstLine="0"/>
      </w:pPr>
      <w:r w:rsidRPr="007D235F">
        <w:t>Draft/ACH Item Returned Insufficient</w:t>
      </w:r>
      <w:r w:rsidR="00947195" w:rsidRPr="007D235F">
        <w:t xml:space="preserve"> Funds (NSF)</w:t>
      </w:r>
      <w:r w:rsidR="002B56A2" w:rsidRPr="002B56A2">
        <w:rPr>
          <w:b/>
          <w:bCs/>
          <w:vertAlign w:val="superscript"/>
        </w:rPr>
        <w:t>4</w:t>
      </w:r>
    </w:p>
    <w:p w14:paraId="7B9A6068" w14:textId="653F571F" w:rsidR="001C59AB" w:rsidRPr="007D235F" w:rsidRDefault="007D235F" w:rsidP="00CD5D79">
      <w:pPr>
        <w:pStyle w:val="StyleCU-10FeeSchedule2columnBefore6ptLinespacingE"/>
        <w:ind w:left="0" w:firstLine="0"/>
      </w:pPr>
      <w:r w:rsidRPr="007D235F">
        <w:tab/>
      </w:r>
      <w:r w:rsidRPr="007D235F">
        <w:tab/>
      </w:r>
      <w:r w:rsidR="001C59AB" w:rsidRPr="007D235F">
        <w:t>$36.00</w:t>
      </w:r>
      <w:r w:rsidR="00904A56" w:rsidRPr="007D235F">
        <w:t xml:space="preserve"> per presentment</w:t>
      </w:r>
    </w:p>
    <w:p w14:paraId="122075FC" w14:textId="77777777" w:rsidR="007D235F" w:rsidRPr="007D235F" w:rsidRDefault="007D235F" w:rsidP="00CD5D79">
      <w:pPr>
        <w:pStyle w:val="StyleCU-10FeeSchedule2columnBefore6ptLinespacingE"/>
        <w:ind w:left="0" w:firstLine="0"/>
      </w:pPr>
      <w:r w:rsidRPr="007D235F">
        <w:t>Paid Overdraft Debit Transaction</w:t>
      </w:r>
      <w:r w:rsidRPr="007D235F">
        <w:tab/>
        <w:t>$36.00</w:t>
      </w:r>
    </w:p>
    <w:p w14:paraId="025AEF8F" w14:textId="77777777" w:rsidR="007D235F" w:rsidRPr="007D235F" w:rsidRDefault="007D235F" w:rsidP="00CD5D79">
      <w:pPr>
        <w:pStyle w:val="StyleCU-10FeeSchedule2columnBefore6ptLinespacingE"/>
        <w:ind w:left="0" w:firstLine="0"/>
      </w:pPr>
      <w:r w:rsidRPr="007D235F">
        <w:t>Paid Overdraft Item (Draft or ACH)</w:t>
      </w:r>
      <w:r w:rsidRPr="007D235F">
        <w:tab/>
        <w:t>$36.00</w:t>
      </w:r>
    </w:p>
    <w:p w14:paraId="75A4FE76" w14:textId="77777777" w:rsidR="007D235F" w:rsidRPr="007D235F" w:rsidRDefault="007D235F" w:rsidP="00CD5D79">
      <w:pPr>
        <w:pStyle w:val="StyleCU-10FeeSchedule2columnBefore6ptLinespacingE"/>
        <w:ind w:left="0" w:firstLine="0"/>
      </w:pPr>
      <w:r w:rsidRPr="007D235F">
        <w:t>Returned Deposit Item</w:t>
      </w:r>
      <w:r w:rsidRPr="007D235F">
        <w:tab/>
        <w:t>$15.00</w:t>
      </w:r>
    </w:p>
    <w:p w14:paraId="55C2F9F1" w14:textId="77777777" w:rsidR="007D235F" w:rsidRPr="007D235F" w:rsidRDefault="007D235F" w:rsidP="00CD5D79">
      <w:pPr>
        <w:pStyle w:val="StyleCU-10FeeSchedule2columnBefore6ptLinespacingE"/>
        <w:ind w:left="0" w:firstLine="0"/>
      </w:pPr>
      <w:r w:rsidRPr="007D235F">
        <w:t>Stop Payment Request</w:t>
      </w:r>
      <w:r w:rsidRPr="007D235F">
        <w:tab/>
        <w:t>$36.00</w:t>
      </w:r>
    </w:p>
    <w:p w14:paraId="33FB73E2" w14:textId="77777777" w:rsidR="007D235F" w:rsidRPr="007D235F" w:rsidRDefault="007D235F" w:rsidP="00CD5D79">
      <w:pPr>
        <w:pStyle w:val="StyleCU-10FeeSchedule2columnBefore6ptLinespacingE"/>
        <w:ind w:left="0" w:firstLine="0"/>
      </w:pPr>
      <w:r w:rsidRPr="007D235F">
        <w:t>Check or Draft Copy</w:t>
      </w:r>
      <w:r w:rsidRPr="007D235F">
        <w:tab/>
        <w:t>$5.00</w:t>
      </w:r>
    </w:p>
    <w:p w14:paraId="50997D11" w14:textId="77777777" w:rsidR="007D235F" w:rsidRPr="007D235F" w:rsidRDefault="007D235F" w:rsidP="00CD5D79">
      <w:pPr>
        <w:pStyle w:val="StyleCU-10FeeSchedule2columnBefore6ptLinespacingE"/>
        <w:ind w:left="0" w:firstLine="0"/>
      </w:pPr>
      <w:r w:rsidRPr="007D235F">
        <w:t>ATM/Debit/Credit Card Replacement</w:t>
      </w:r>
      <w:r w:rsidRPr="007D235F">
        <w:tab/>
        <w:t>$7.00</w:t>
      </w:r>
    </w:p>
    <w:p w14:paraId="2B5FD875" w14:textId="77777777" w:rsidR="007D235F" w:rsidRPr="007D235F" w:rsidRDefault="007D235F" w:rsidP="00CD5D79">
      <w:pPr>
        <w:pStyle w:val="StyleCU-10FeeSchedule2columnBefore6ptLinespacingE"/>
        <w:ind w:left="0" w:firstLine="0"/>
      </w:pPr>
      <w:r w:rsidRPr="007D235F">
        <w:t>International Debit Transaction</w:t>
      </w:r>
      <w:r w:rsidRPr="002B56A2">
        <w:rPr>
          <w:b/>
          <w:bCs/>
          <w:vertAlign w:val="superscript"/>
        </w:rPr>
        <w:t>5</w:t>
      </w:r>
      <w:r w:rsidRPr="007D235F">
        <w:tab/>
        <w:t>1.0% of trans. amount</w:t>
      </w:r>
    </w:p>
    <w:p w14:paraId="16FFCDD5" w14:textId="1D42B843" w:rsidR="007D235F" w:rsidRPr="007D235F" w:rsidRDefault="007D235F" w:rsidP="00CD5D79">
      <w:pPr>
        <w:pStyle w:val="StyleCU-10FeeSchedule2columnBefore6ptLinespacingE"/>
        <w:ind w:left="0" w:firstLine="0"/>
      </w:pPr>
      <w:r w:rsidRPr="007D235F">
        <w:t xml:space="preserve">Foreign ATM Usage </w:t>
      </w:r>
      <w:r w:rsidR="002B56A2">
        <w:t>Charge</w:t>
      </w:r>
      <w:r w:rsidRPr="007D235F">
        <w:tab/>
        <w:t>$3.00</w:t>
      </w:r>
    </w:p>
    <w:p w14:paraId="6E88293C" w14:textId="77777777" w:rsidR="007D235F" w:rsidRPr="007D235F" w:rsidRDefault="007D235F" w:rsidP="00CD5D79">
      <w:pPr>
        <w:pStyle w:val="StyleCU-10FeeSchedule2columnBefore6ptLinespacingE"/>
        <w:ind w:left="0" w:firstLine="0"/>
      </w:pPr>
      <w:r w:rsidRPr="007D235F">
        <w:t xml:space="preserve">Sending Domestic Wire </w:t>
      </w:r>
      <w:r w:rsidRPr="007D235F">
        <w:tab/>
        <w:t>$20.00</w:t>
      </w:r>
    </w:p>
    <w:p w14:paraId="78A2E039" w14:textId="77777777" w:rsidR="007D235F" w:rsidRPr="007D235F" w:rsidRDefault="007D235F" w:rsidP="00CD5D79">
      <w:pPr>
        <w:pStyle w:val="StyleCU-10FeeSchedule2columnBefore6ptLinespacingE"/>
        <w:ind w:left="0" w:firstLine="0"/>
      </w:pPr>
      <w:r w:rsidRPr="007D235F">
        <w:t>Receiving Wire Transfer</w:t>
      </w:r>
      <w:r w:rsidRPr="007D235F">
        <w:tab/>
        <w:t>$10.00</w:t>
      </w:r>
    </w:p>
    <w:p w14:paraId="1B80ED9C" w14:textId="23A3B2E4" w:rsidR="007D235F" w:rsidRPr="007D235F" w:rsidRDefault="007D235F" w:rsidP="00CD5D79">
      <w:pPr>
        <w:pStyle w:val="StyleCU-10FeeSchedule2columnBefore6ptLinespacingE"/>
        <w:ind w:left="0" w:firstLine="0"/>
      </w:pPr>
      <w:r w:rsidRPr="007D235F">
        <w:t>IRA Maintenance (If Closed Within 18 Months)</w:t>
      </w:r>
      <w:r w:rsidRPr="007D235F">
        <w:tab/>
        <w:t>$15.00</w:t>
      </w:r>
    </w:p>
    <w:p w14:paraId="3C2839BC" w14:textId="77777777" w:rsidR="007D235F" w:rsidRPr="007D235F" w:rsidRDefault="007D235F" w:rsidP="00CD5D79">
      <w:pPr>
        <w:pStyle w:val="StyleCU-10FeeSchedule2columnBefore6ptLinespacingE"/>
        <w:ind w:left="0" w:firstLine="0"/>
      </w:pPr>
      <w:r w:rsidRPr="007D235F">
        <w:t>Reorder of Pin Number</w:t>
      </w:r>
      <w:r w:rsidRPr="007D235F">
        <w:tab/>
        <w:t>$5.00</w:t>
      </w:r>
    </w:p>
    <w:p w14:paraId="6E3BC6BF" w14:textId="77777777" w:rsidR="007D235F" w:rsidRPr="007D235F" w:rsidRDefault="007D235F" w:rsidP="00CD5D79">
      <w:pPr>
        <w:pStyle w:val="StyleCU-10FeeSchedule2columnBefore6ptLinespacingE"/>
        <w:ind w:left="0" w:firstLine="0"/>
      </w:pPr>
      <w:r w:rsidRPr="007D235F">
        <w:t>Foreign Negotiable Items</w:t>
      </w:r>
      <w:r w:rsidRPr="002B56A2">
        <w:rPr>
          <w:b/>
          <w:bCs/>
          <w:vertAlign w:val="superscript"/>
        </w:rPr>
        <w:t>6</w:t>
      </w:r>
      <w:r w:rsidRPr="007D235F">
        <w:tab/>
        <w:t>Starting At $10.00</w:t>
      </w:r>
    </w:p>
    <w:p w14:paraId="06448B58" w14:textId="66D90CB6" w:rsidR="007D235F" w:rsidRPr="007D235F" w:rsidRDefault="007D235F" w:rsidP="00CD5D79">
      <w:pPr>
        <w:pStyle w:val="StyleCU-10FeeSchedule2columnBefore6ptLinespacingE"/>
        <w:ind w:left="0" w:firstLine="0"/>
      </w:pPr>
      <w:r w:rsidRPr="007D235F">
        <w:t>Overdraft Transfer</w:t>
      </w:r>
      <w:r w:rsidRPr="007D235F">
        <w:tab/>
        <w:t>$2.00</w:t>
      </w:r>
    </w:p>
    <w:p w14:paraId="0EA26F7C" w14:textId="228478F7" w:rsidR="007D235F" w:rsidRPr="007D235F" w:rsidRDefault="007D235F" w:rsidP="00CD5D79">
      <w:pPr>
        <w:pStyle w:val="StyleCU-10FeeSchedule2columnBefore6ptLinespacingE"/>
        <w:ind w:left="0" w:firstLine="0"/>
      </w:pPr>
      <w:r w:rsidRPr="007D235F">
        <w:t xml:space="preserve">Paper </w:t>
      </w:r>
      <w:r w:rsidRPr="00BF5BB9">
        <w:rPr>
          <w:sz w:val="16"/>
          <w:szCs w:val="18"/>
        </w:rPr>
        <w:t>Statement</w:t>
      </w:r>
      <w:r w:rsidR="002B56A2" w:rsidRPr="007B22BA">
        <w:rPr>
          <w:sz w:val="16"/>
          <w:szCs w:val="18"/>
        </w:rPr>
        <w:t>s</w:t>
      </w:r>
      <w:r w:rsidR="00BF5BB9" w:rsidRPr="007B22BA">
        <w:rPr>
          <w:sz w:val="16"/>
          <w:szCs w:val="18"/>
          <w:vertAlign w:val="superscript"/>
        </w:rPr>
        <w:t>7</w:t>
      </w:r>
      <w:r w:rsidRPr="007D235F">
        <w:tab/>
        <w:t>$5.00 per statement</w:t>
      </w:r>
    </w:p>
    <w:p w14:paraId="089BAA96" w14:textId="77777777" w:rsidR="007D235F" w:rsidRPr="007D235F" w:rsidRDefault="007D235F" w:rsidP="00CD5D79">
      <w:pPr>
        <w:pStyle w:val="StyleCU-10FeeSchedule2columnBefore6ptLinespacingE"/>
        <w:ind w:left="0" w:firstLine="0"/>
      </w:pPr>
      <w:r w:rsidRPr="007D235F">
        <w:t>Early Withdrawal for Christmas Club</w:t>
      </w:r>
      <w:r w:rsidRPr="007D235F">
        <w:tab/>
        <w:t>$5.00</w:t>
      </w:r>
    </w:p>
    <w:p w14:paraId="56EBFB5B" w14:textId="19C6D3DD" w:rsidR="007D235F" w:rsidRPr="007D235F" w:rsidRDefault="007D235F" w:rsidP="00CD5D79">
      <w:pPr>
        <w:pStyle w:val="StyleCU-10FeeSchedule2columnBefore6ptLinespacingE"/>
        <w:ind w:left="0" w:firstLine="0"/>
      </w:pPr>
      <w:r w:rsidRPr="007D235F">
        <w:t xml:space="preserve">Bill Pay </w:t>
      </w:r>
      <w:r w:rsidR="002B56A2">
        <w:t>Service Charge</w:t>
      </w:r>
      <w:r w:rsidRPr="002B56A2">
        <w:rPr>
          <w:b/>
          <w:bCs/>
          <w:vertAlign w:val="superscript"/>
        </w:rPr>
        <w:t>8</w:t>
      </w:r>
      <w:r w:rsidRPr="007D235F">
        <w:tab/>
        <w:t>$4.95 per month</w:t>
      </w:r>
    </w:p>
    <w:p w14:paraId="7EDC0D83" w14:textId="77777777" w:rsidR="001C59AB" w:rsidRPr="001C59AB" w:rsidRDefault="001C59AB" w:rsidP="00CD5D79">
      <w:pPr>
        <w:pStyle w:val="CU-10FeeSchedule2column"/>
        <w:spacing w:before="80" w:line="210" w:lineRule="exact"/>
        <w:rPr>
          <w:b/>
        </w:rPr>
      </w:pPr>
      <w:r w:rsidRPr="001C59AB">
        <w:rPr>
          <w:b/>
        </w:rPr>
        <w:t>Business Account Charges</w:t>
      </w:r>
    </w:p>
    <w:p w14:paraId="3C448799" w14:textId="7BACD59A" w:rsidR="007D235F" w:rsidRPr="007D235F" w:rsidRDefault="007D235F" w:rsidP="00CD5D79">
      <w:pPr>
        <w:pStyle w:val="StyleCU-10FeeSchedule2columnBefore6ptLinespacingE"/>
      </w:pPr>
      <w:r w:rsidRPr="007D235F">
        <w:t xml:space="preserve">Item </w:t>
      </w:r>
      <w:r w:rsidR="002B56A2">
        <w:t>Charge</w:t>
      </w:r>
      <w:r w:rsidRPr="007D235F">
        <w:tab/>
        <w:t>$0.05 per item over 500 per month</w:t>
      </w:r>
    </w:p>
    <w:p w14:paraId="2C12CAA1" w14:textId="308B6843" w:rsidR="007D235F" w:rsidRPr="007D235F" w:rsidRDefault="007D235F" w:rsidP="00CD5D79">
      <w:pPr>
        <w:pStyle w:val="StyleCU-10FeeSchedule2columnBefore6ptLinespacingE"/>
      </w:pPr>
      <w:r w:rsidRPr="007D235F">
        <w:t>Cash</w:t>
      </w:r>
      <w:r w:rsidRPr="007D235F">
        <w:tab/>
        <w:t xml:space="preserve"> $0.15 per $100 in cash over $5,000 per month</w:t>
      </w:r>
    </w:p>
    <w:p w14:paraId="0662230D" w14:textId="77777777" w:rsidR="001C59AB" w:rsidRPr="004D1E47" w:rsidRDefault="001C59AB" w:rsidP="004D1E47">
      <w:pPr>
        <w:pStyle w:val="StyleCU-10FeeSchedule2columnBefore6ptLinespacingE"/>
        <w:rPr>
          <w:b/>
        </w:rPr>
      </w:pPr>
      <w:r w:rsidRPr="004D1E47">
        <w:rPr>
          <w:b/>
        </w:rPr>
        <w:br w:type="column"/>
      </w:r>
      <w:r w:rsidRPr="004D1E47">
        <w:rPr>
          <w:b/>
        </w:rPr>
        <w:t>Loan Servicing Charges</w:t>
      </w:r>
    </w:p>
    <w:p w14:paraId="5F49ED06" w14:textId="6F2B9ACB" w:rsidR="007D235F" w:rsidRPr="007D235F" w:rsidRDefault="007D235F" w:rsidP="007D235F">
      <w:pPr>
        <w:pStyle w:val="StyleCU-10FeeSchedule2columnBefore6ptLinespacingE"/>
      </w:pPr>
      <w:r w:rsidRPr="007D235F">
        <w:t>Consumer Loan Modification</w:t>
      </w:r>
      <w:r w:rsidRPr="007D235F">
        <w:tab/>
        <w:t>$40.00</w:t>
      </w:r>
    </w:p>
    <w:p w14:paraId="3216EAB4" w14:textId="35529946" w:rsidR="007D235F" w:rsidRPr="007D235F" w:rsidRDefault="007D235F" w:rsidP="007D235F">
      <w:pPr>
        <w:pStyle w:val="StyleCU-10FeeSchedule2columnBefore6ptLinespacingE"/>
      </w:pPr>
      <w:r w:rsidRPr="007D235F">
        <w:t xml:space="preserve">Mortgage Modification </w:t>
      </w:r>
      <w:r w:rsidRPr="007D235F">
        <w:tab/>
        <w:t>$500.00</w:t>
      </w:r>
    </w:p>
    <w:p w14:paraId="3436C7F8" w14:textId="24A213D9" w:rsidR="007D235F" w:rsidRPr="007D235F" w:rsidRDefault="007D235F" w:rsidP="007D235F">
      <w:pPr>
        <w:pStyle w:val="StyleCU-10FeeSchedule2columnBefore6ptLinespacingE"/>
      </w:pPr>
      <w:r w:rsidRPr="007D235F">
        <w:t xml:space="preserve">Mortgage Subordination </w:t>
      </w:r>
      <w:r w:rsidRPr="007D235F">
        <w:tab/>
        <w:t>$300.00</w:t>
      </w:r>
    </w:p>
    <w:p w14:paraId="34A240FF" w14:textId="3D2982FE" w:rsidR="007D235F" w:rsidRPr="007D235F" w:rsidRDefault="007D235F" w:rsidP="007D235F">
      <w:pPr>
        <w:pStyle w:val="StyleCU-10FeeSchedule2columnBefore6ptLinespacingE"/>
      </w:pPr>
      <w:r w:rsidRPr="007D235F">
        <w:t xml:space="preserve">First Mortgage Processing </w:t>
      </w:r>
      <w:r w:rsidRPr="007D235F">
        <w:tab/>
        <w:t>$750.00</w:t>
      </w:r>
    </w:p>
    <w:p w14:paraId="4FA4508D" w14:textId="3DE1A104" w:rsidR="007D235F" w:rsidRPr="007D235F" w:rsidRDefault="007D235F" w:rsidP="007D235F">
      <w:pPr>
        <w:pStyle w:val="StyleCU-10FeeSchedule2columnBefore6ptLinespacingE"/>
      </w:pPr>
      <w:r w:rsidRPr="007D235F">
        <w:t xml:space="preserve">Second Mortgage Processing </w:t>
      </w:r>
      <w:r w:rsidRPr="007D235F">
        <w:tab/>
        <w:t>$375.00</w:t>
      </w:r>
    </w:p>
    <w:p w14:paraId="6DB309DC" w14:textId="3BB88305" w:rsidR="007D235F" w:rsidRPr="007D235F" w:rsidRDefault="007D235F" w:rsidP="007D235F">
      <w:pPr>
        <w:pStyle w:val="StyleCU-10FeeSchedule2columnBefore6ptLinespacingE"/>
      </w:pPr>
      <w:r w:rsidRPr="007D235F">
        <w:t xml:space="preserve">Salary Advance </w:t>
      </w:r>
      <w:r w:rsidRPr="007D235F">
        <w:tab/>
        <w:t>$20.00</w:t>
      </w:r>
    </w:p>
    <w:p w14:paraId="088E388F" w14:textId="516F15C6" w:rsidR="007D235F" w:rsidRPr="007D235F" w:rsidRDefault="007D235F" w:rsidP="007D235F">
      <w:pPr>
        <w:pStyle w:val="StyleCU-10FeeSchedule2columnBefore6ptLinespacingE"/>
      </w:pPr>
      <w:r w:rsidRPr="007D235F">
        <w:t>Credit Report</w:t>
      </w:r>
      <w:r w:rsidRPr="007D235F">
        <w:tab/>
        <w:t>$10.00</w:t>
      </w:r>
    </w:p>
    <w:p w14:paraId="531C6E56" w14:textId="47B89AFA" w:rsidR="007D235F" w:rsidRPr="007D235F" w:rsidRDefault="007D235F" w:rsidP="007D235F">
      <w:pPr>
        <w:pStyle w:val="StyleCU-10FeeSchedule2columnBefore6ptLinespacingE"/>
      </w:pPr>
      <w:proofErr w:type="spellStart"/>
      <w:r w:rsidRPr="007D235F">
        <w:t>DigiDocs</w:t>
      </w:r>
      <w:proofErr w:type="spellEnd"/>
      <w:r w:rsidRPr="007D235F">
        <w:t xml:space="preserve"> (Indirect loans only)</w:t>
      </w:r>
      <w:r w:rsidRPr="007D235F">
        <w:tab/>
        <w:t>$100.00</w:t>
      </w:r>
    </w:p>
    <w:p w14:paraId="04C1AF6A" w14:textId="6F7FAA5F" w:rsidR="007D235F" w:rsidRPr="007D235F" w:rsidRDefault="007D235F" w:rsidP="007D235F">
      <w:pPr>
        <w:pStyle w:val="StyleCU-10FeeSchedule2columnBefore6ptLinespacingE"/>
      </w:pPr>
      <w:r w:rsidRPr="007D235F">
        <w:t xml:space="preserve">Lien </w:t>
      </w:r>
      <w:r w:rsidR="002B56A2">
        <w:t>Charge</w:t>
      </w:r>
      <w:r w:rsidRPr="007D235F">
        <w:tab/>
        <w:t>$110.00</w:t>
      </w:r>
    </w:p>
    <w:p w14:paraId="157324A4" w14:textId="6BEAD766" w:rsidR="007D235F" w:rsidRPr="007D235F" w:rsidRDefault="007D235F" w:rsidP="007D235F">
      <w:pPr>
        <w:pStyle w:val="StyleCU-10FeeSchedule2columnBefore6ptLinespacingE"/>
      </w:pPr>
      <w:r w:rsidRPr="007D235F">
        <w:t>Loan Payment by Phone/Internet</w:t>
      </w:r>
      <w:r w:rsidRPr="007D235F">
        <w:tab/>
        <w:t>$0 to $</w:t>
      </w:r>
      <w:r w:rsidR="00DA34E0">
        <w:t>5</w:t>
      </w:r>
      <w:r w:rsidRPr="007D235F">
        <w:t>.95</w:t>
      </w:r>
    </w:p>
    <w:p w14:paraId="7D5164B7" w14:textId="5475D019" w:rsidR="007D235F" w:rsidRPr="007D235F" w:rsidRDefault="007D235F" w:rsidP="007D235F">
      <w:pPr>
        <w:pStyle w:val="StyleCU-10FeeSchedule2columnBefore6ptLinespacingE"/>
      </w:pPr>
      <w:r w:rsidRPr="007D235F">
        <w:t xml:space="preserve">Skip Payment </w:t>
      </w:r>
      <w:r w:rsidR="002B56A2">
        <w:t>Service Charge</w:t>
      </w:r>
      <w:r w:rsidRPr="007D235F">
        <w:tab/>
        <w:t>$50.00 to $200.00</w:t>
      </w:r>
    </w:p>
    <w:p w14:paraId="3691C913" w14:textId="07401DE8" w:rsidR="007D235F" w:rsidRPr="007D235F" w:rsidRDefault="00DA34E0" w:rsidP="00DA34E0">
      <w:pPr>
        <w:pStyle w:val="StyleCU-10FeeSchedule2columnBefore6ptLinespacingE"/>
        <w:spacing w:before="0"/>
      </w:pPr>
      <w:r>
        <w:tab/>
      </w:r>
      <w:r>
        <w:tab/>
      </w:r>
      <w:r w:rsidR="007D235F" w:rsidRPr="007D235F">
        <w:t>(Depending On Loan Payment Amount)</w:t>
      </w:r>
    </w:p>
    <w:p w14:paraId="04772848" w14:textId="5373F815" w:rsidR="001C59AB" w:rsidRPr="004D1E47" w:rsidRDefault="001C59AB" w:rsidP="004D1E47">
      <w:pPr>
        <w:pStyle w:val="StyleCU-10FeeSchedule2columnBefore6ptLinespacingE"/>
        <w:rPr>
          <w:b/>
        </w:rPr>
      </w:pPr>
      <w:r w:rsidRPr="004D1E47">
        <w:rPr>
          <w:b/>
        </w:rPr>
        <w:t>Other Services &amp; Charges</w:t>
      </w:r>
    </w:p>
    <w:p w14:paraId="7E8DA996" w14:textId="044428A4" w:rsidR="00A84B41" w:rsidRPr="00A84B41" w:rsidRDefault="00A84B41" w:rsidP="00A84B41">
      <w:pPr>
        <w:pStyle w:val="StyleCU-10FeeSchedule2columnBefore6ptLinespacingE"/>
        <w:ind w:left="0" w:firstLine="0"/>
      </w:pPr>
      <w:r w:rsidRPr="00A84B41">
        <w:t xml:space="preserve">Incorrect Address </w:t>
      </w:r>
      <w:r w:rsidR="002B56A2">
        <w:t>Charge</w:t>
      </w:r>
      <w:r w:rsidRPr="00A84B41">
        <w:tab/>
        <w:t>$10.00</w:t>
      </w:r>
    </w:p>
    <w:p w14:paraId="1BAFE970" w14:textId="77777777" w:rsidR="00A84B41" w:rsidRPr="00A84B41" w:rsidRDefault="00A84B41" w:rsidP="00A84B41">
      <w:pPr>
        <w:pStyle w:val="StyleCU-10FeeSchedule2columnBefore6ptLinespacingE"/>
        <w:ind w:left="0" w:firstLine="0"/>
      </w:pPr>
      <w:r w:rsidRPr="00A84B41">
        <w:t>Statement Copy</w:t>
      </w:r>
      <w:r w:rsidRPr="00A84B41">
        <w:tab/>
        <w:t>$5.00</w:t>
      </w:r>
    </w:p>
    <w:p w14:paraId="469B3099" w14:textId="77777777" w:rsidR="00A84B41" w:rsidRPr="00A84B41" w:rsidRDefault="00A84B41" w:rsidP="00A84B41">
      <w:pPr>
        <w:pStyle w:val="StyleCU-10FeeSchedule2columnBefore6ptLinespacingE"/>
        <w:ind w:left="0" w:firstLine="0"/>
      </w:pPr>
      <w:r w:rsidRPr="00A84B41">
        <w:t>Teller Check</w:t>
      </w:r>
      <w:r w:rsidRPr="00A84B41">
        <w:tab/>
        <w:t>$2.00</w:t>
      </w:r>
    </w:p>
    <w:p w14:paraId="4AA43F4A" w14:textId="77777777" w:rsidR="00A84B41" w:rsidRPr="00A84B41" w:rsidRDefault="00A84B41" w:rsidP="00A84B41">
      <w:pPr>
        <w:pStyle w:val="StyleCU-10FeeSchedule2columnBefore6ptLinespacingE"/>
        <w:ind w:left="0" w:firstLine="0"/>
      </w:pPr>
      <w:r w:rsidRPr="00A84B41">
        <w:t>Research Time</w:t>
      </w:r>
      <w:r w:rsidRPr="00A84B41">
        <w:tab/>
        <w:t>$30.00/Hour</w:t>
      </w:r>
    </w:p>
    <w:p w14:paraId="1A1CCE54" w14:textId="77777777" w:rsidR="00A84B41" w:rsidRPr="00A84B41" w:rsidRDefault="00A84B41" w:rsidP="00CD5D79">
      <w:pPr>
        <w:pStyle w:val="StyleCU-10FeeSchedule2columnBefore6ptLinespacingE"/>
        <w:ind w:left="0" w:firstLine="0"/>
      </w:pPr>
      <w:r w:rsidRPr="00A84B41">
        <w:t>Third Party Teller Check Conversion</w:t>
      </w:r>
      <w:r w:rsidRPr="00A84B41">
        <w:tab/>
        <w:t>$10.00</w:t>
      </w:r>
    </w:p>
    <w:p w14:paraId="5E243B30" w14:textId="77777777" w:rsidR="00A84B41" w:rsidRPr="00A84B41" w:rsidRDefault="00A84B41" w:rsidP="00CD5D79">
      <w:pPr>
        <w:pStyle w:val="StyleCU-10FeeSchedule2columnBefore6ptLinespacingE"/>
        <w:ind w:left="0" w:firstLine="0"/>
      </w:pPr>
      <w:r w:rsidRPr="00A84B41">
        <w:t>Lock Box Rent per Year</w:t>
      </w:r>
      <w:r w:rsidRPr="00A84B41">
        <w:tab/>
        <w:t>$25.00 to $100.00</w:t>
      </w:r>
    </w:p>
    <w:p w14:paraId="2EFF9600" w14:textId="77777777" w:rsidR="00A84B41" w:rsidRPr="00A84B41" w:rsidRDefault="00A84B41" w:rsidP="00CD5D79">
      <w:pPr>
        <w:pStyle w:val="StyleCU-10FeeSchedule2columnBefore6ptLinespacingE"/>
        <w:ind w:left="0" w:firstLine="0"/>
      </w:pPr>
      <w:r w:rsidRPr="00A84B41">
        <w:t>Rekey Lock Box (1 lost key)</w:t>
      </w:r>
      <w:r w:rsidRPr="00A84B41">
        <w:tab/>
        <w:t>$150.00</w:t>
      </w:r>
    </w:p>
    <w:p w14:paraId="1E2A579E" w14:textId="77777777" w:rsidR="00A84B41" w:rsidRPr="00A84B41" w:rsidRDefault="00A84B41" w:rsidP="00CD5D79">
      <w:pPr>
        <w:pStyle w:val="StyleCU-10FeeSchedule2columnBefore6ptLinespacingE"/>
        <w:ind w:left="0" w:firstLine="0"/>
      </w:pPr>
      <w:r w:rsidRPr="00A84B41">
        <w:t>Drilling Lock Box (2 lost keys)</w:t>
      </w:r>
      <w:r w:rsidRPr="00A84B41">
        <w:tab/>
        <w:t>$250.00</w:t>
      </w:r>
    </w:p>
    <w:p w14:paraId="5970052A" w14:textId="77777777" w:rsidR="00A84B41" w:rsidRPr="00A84B41" w:rsidRDefault="00A84B41" w:rsidP="00CD5D79">
      <w:pPr>
        <w:pStyle w:val="StyleCU-10FeeSchedule2columnBefore6ptLinespacingE"/>
        <w:ind w:left="0" w:firstLine="0"/>
      </w:pPr>
      <w:r w:rsidRPr="00A84B41">
        <w:t>Check Cashing for Non-Member</w:t>
      </w:r>
      <w:r w:rsidRPr="00A84B41">
        <w:tab/>
        <w:t>$10.00</w:t>
      </w:r>
    </w:p>
    <w:p w14:paraId="39830203" w14:textId="1D331D1D" w:rsidR="00A84B41" w:rsidRPr="00A84B41" w:rsidRDefault="00A84B41" w:rsidP="00CD5D79">
      <w:pPr>
        <w:pStyle w:val="StyleCU-10FeeSchedule2columnBefore6ptLinespacingE"/>
        <w:ind w:left="0" w:firstLine="0"/>
      </w:pPr>
      <w:r w:rsidRPr="00A84B41">
        <w:t>Legal Processing (Garnishment, Levy)</w:t>
      </w:r>
      <w:r w:rsidRPr="00A84B41">
        <w:tab/>
        <w:t>$125.00</w:t>
      </w:r>
    </w:p>
    <w:p w14:paraId="71F0FA30" w14:textId="4CF0A079" w:rsidR="00A84B41" w:rsidRPr="00A84B41" w:rsidRDefault="00A84B41" w:rsidP="00CD5D79">
      <w:pPr>
        <w:pStyle w:val="StyleCU-10FeeSchedule2columnBefore6ptLinespacingE"/>
        <w:ind w:left="0" w:firstLine="0"/>
      </w:pPr>
      <w:r w:rsidRPr="00A84B41">
        <w:t>Unclaimed Property</w:t>
      </w:r>
      <w:r w:rsidRPr="00A84B41">
        <w:tab/>
        <w:t>$125.00</w:t>
      </w:r>
    </w:p>
    <w:p w14:paraId="44BB001E" w14:textId="77777777" w:rsidR="00A84B41" w:rsidRPr="00A84B41" w:rsidRDefault="00A84B41" w:rsidP="00CD5D79">
      <w:pPr>
        <w:pStyle w:val="StyleCU-10FeeSchedule2columnBefore6ptLinespacingE"/>
        <w:ind w:left="0" w:firstLine="0"/>
      </w:pPr>
      <w:r w:rsidRPr="00A84B41">
        <w:t>Verification of Deposit</w:t>
      </w:r>
      <w:r w:rsidRPr="00A84B41">
        <w:tab/>
        <w:t>$10.00</w:t>
      </w:r>
    </w:p>
    <w:p w14:paraId="55006254" w14:textId="77777777" w:rsidR="00A84B41" w:rsidRPr="00A84B41" w:rsidRDefault="00A84B41" w:rsidP="00A84B41">
      <w:pPr>
        <w:pStyle w:val="StyleCU-10FeeSchedule2columnBefore6ptLinespacingE"/>
        <w:ind w:left="0" w:firstLine="0"/>
      </w:pPr>
      <w:r w:rsidRPr="00A84B41">
        <w:t>Prepaid Card</w:t>
      </w:r>
      <w:r w:rsidRPr="00A84B41">
        <w:tab/>
        <w:t>$5.00</w:t>
      </w:r>
    </w:p>
    <w:p w14:paraId="113BDE8E" w14:textId="77777777" w:rsidR="001C59AB" w:rsidRDefault="001C59AB" w:rsidP="00A84B41">
      <w:pPr>
        <w:pStyle w:val="StyleCU-10FeeSchedule2columnBefore6ptLinespacingE"/>
        <w:ind w:left="0" w:firstLine="0"/>
      </w:pPr>
    </w:p>
    <w:p w14:paraId="26DBAD14" w14:textId="1879BC5C" w:rsidR="001C59AB" w:rsidRPr="001C59AB" w:rsidRDefault="001C59AB" w:rsidP="004D1E47">
      <w:pPr>
        <w:pStyle w:val="StyleCU-10FeeSchedule2columnBefore6ptLinespacingE"/>
        <w:sectPr w:rsidR="001C59AB" w:rsidRPr="001C59AB" w:rsidSect="00CD5D79">
          <w:type w:val="continuous"/>
          <w:pgSz w:w="12240" w:h="15840" w:code="1"/>
          <w:pgMar w:top="720" w:right="720" w:bottom="720" w:left="720" w:header="720" w:footer="720" w:gutter="0"/>
          <w:cols w:num="2" w:space="288"/>
          <w:docGrid w:linePitch="360"/>
        </w:sectPr>
      </w:pPr>
    </w:p>
    <w:p w14:paraId="327AB885" w14:textId="77777777" w:rsidR="002B56A2" w:rsidRPr="002B56A2" w:rsidRDefault="002B56A2" w:rsidP="002B56A2">
      <w:pPr>
        <w:pStyle w:val="CU-01Bodycopystandard"/>
      </w:pPr>
      <w:r w:rsidRPr="002B56A2">
        <w:rPr>
          <w:b/>
          <w:bCs/>
          <w:vertAlign w:val="superscript"/>
        </w:rPr>
        <w:t>1</w:t>
      </w:r>
      <w:r w:rsidRPr="002B56A2">
        <w:t xml:space="preserve"> Kasasa, My Way Senior, Green, and Student Checking accounts have no monthly service charges. Basic Checking accounts will be charged $4 per month (waived with </w:t>
      </w:r>
      <w:proofErr w:type="gramStart"/>
      <w:r w:rsidRPr="002B56A2">
        <w:t>minimum</w:t>
      </w:r>
      <w:proofErr w:type="gramEnd"/>
      <w:r w:rsidRPr="002B56A2">
        <w:t xml:space="preserve"> balance of $100 and/or for members under age 18).  Premier Dividend account will be charged $4 per month if requirements (10 or more debit card purchases, enrolled in e-statements, and direct deposit) are not met.  New Leaf Checking accounts will be charged $7 per month with direct deposit or $15 per month with no direct deposit.</w:t>
      </w:r>
    </w:p>
    <w:p w14:paraId="2905A2A1" w14:textId="77777777" w:rsidR="002B56A2" w:rsidRPr="002B56A2" w:rsidRDefault="002B56A2" w:rsidP="002B56A2">
      <w:pPr>
        <w:pStyle w:val="CU-01Bodycopystandard"/>
      </w:pPr>
      <w:r w:rsidRPr="002B56A2">
        <w:rPr>
          <w:b/>
          <w:bCs/>
          <w:vertAlign w:val="superscript"/>
        </w:rPr>
        <w:t>2</w:t>
      </w:r>
      <w:r w:rsidRPr="002B56A2">
        <w:t xml:space="preserve"> Single Service fee charged if member has only one service with credit union, has had no loan paid off within the past twelve months, is age 18 or over, and the account has been open at least 90 days.</w:t>
      </w:r>
    </w:p>
    <w:p w14:paraId="583CCBEF" w14:textId="77777777" w:rsidR="002B56A2" w:rsidRPr="002B56A2" w:rsidRDefault="002B56A2" w:rsidP="002B56A2">
      <w:pPr>
        <w:pStyle w:val="CU-01Bodycopystandard"/>
      </w:pPr>
      <w:r w:rsidRPr="002B56A2">
        <w:rPr>
          <w:b/>
          <w:bCs/>
          <w:vertAlign w:val="superscript"/>
        </w:rPr>
        <w:t>3</w:t>
      </w:r>
      <w:r w:rsidRPr="002B56A2">
        <w:t xml:space="preserve"> Dormant Account fee is charged monthly after one year of zero transactions on accounts that: 1) have an aggregate account balance less than $250.00, 2) have a primary member age 18 or older, and 3) have no loans or certificates with OHCU.</w:t>
      </w:r>
    </w:p>
    <w:p w14:paraId="2F687AAC" w14:textId="77777777" w:rsidR="002B56A2" w:rsidRPr="002B56A2" w:rsidRDefault="002B56A2" w:rsidP="002B56A2">
      <w:pPr>
        <w:pStyle w:val="CU-01Bodycopystandard"/>
        <w:rPr>
          <w:i/>
          <w:iCs/>
        </w:rPr>
      </w:pPr>
      <w:r w:rsidRPr="002B56A2">
        <w:rPr>
          <w:b/>
          <w:bCs/>
          <w:vertAlign w:val="superscript"/>
        </w:rPr>
        <w:t>4</w:t>
      </w:r>
      <w:r w:rsidRPr="002B56A2">
        <w:rPr>
          <w:i/>
          <w:iCs/>
        </w:rPr>
        <w:t xml:space="preserve"> </w:t>
      </w:r>
      <w:r w:rsidRPr="002B56A2">
        <w:rPr>
          <w:iCs/>
        </w:rPr>
        <w:t xml:space="preserve">An NSF charge is imposed each time an item is presented against insufficient funds. The payee (or the payee’s institution) may </w:t>
      </w:r>
      <w:r w:rsidRPr="002B56A2">
        <w:rPr>
          <w:iCs/>
        </w:rPr>
        <w:br/>
        <w:t xml:space="preserve">re-present a previously returned item. Each </w:t>
      </w:r>
      <w:proofErr w:type="gramStart"/>
      <w:r w:rsidRPr="002B56A2">
        <w:rPr>
          <w:iCs/>
        </w:rPr>
        <w:t>presentment</w:t>
      </w:r>
      <w:proofErr w:type="gramEnd"/>
      <w:r w:rsidRPr="002B56A2">
        <w:rPr>
          <w:iCs/>
        </w:rPr>
        <w:t xml:space="preserve"> against insufficient funds will result in a separate charge.</w:t>
      </w:r>
    </w:p>
    <w:p w14:paraId="5636F312" w14:textId="77777777" w:rsidR="002B56A2" w:rsidRPr="002B56A2" w:rsidRDefault="002B56A2" w:rsidP="002B56A2">
      <w:pPr>
        <w:pStyle w:val="CU-01Bodycopystandard"/>
      </w:pPr>
      <w:r w:rsidRPr="002B56A2">
        <w:rPr>
          <w:b/>
          <w:bCs/>
          <w:iCs/>
          <w:vertAlign w:val="superscript"/>
        </w:rPr>
        <w:t>5</w:t>
      </w:r>
      <w:r w:rsidRPr="002B56A2">
        <w:rPr>
          <w:iCs/>
        </w:rPr>
        <w:t xml:space="preserve"> This fee applies to any debit card transaction made at a location in a foreign country, or payable to a merchant located in a foreign country even if you initiate the transaction from within the United States.</w:t>
      </w:r>
    </w:p>
    <w:p w14:paraId="1517EA89" w14:textId="77777777" w:rsidR="002B56A2" w:rsidRPr="002B56A2" w:rsidRDefault="002B56A2" w:rsidP="002B56A2">
      <w:pPr>
        <w:pStyle w:val="CU-01Bodycopystandard"/>
      </w:pPr>
      <w:r w:rsidRPr="002B56A2">
        <w:rPr>
          <w:b/>
          <w:bCs/>
          <w:vertAlign w:val="superscript"/>
        </w:rPr>
        <w:t>6</w:t>
      </w:r>
      <w:r w:rsidRPr="002B56A2">
        <w:t xml:space="preserve"> Foreign Negotiable Item fees are determined by current exchange rates, per item charges, and cost to OHCU.</w:t>
      </w:r>
    </w:p>
    <w:p w14:paraId="518D39F3" w14:textId="77777777" w:rsidR="002B56A2" w:rsidRPr="002B56A2" w:rsidRDefault="002B56A2" w:rsidP="002B56A2">
      <w:pPr>
        <w:pStyle w:val="CU-01Bodycopystandard"/>
      </w:pPr>
      <w:r w:rsidRPr="002B56A2">
        <w:rPr>
          <w:b/>
          <w:bCs/>
          <w:vertAlign w:val="superscript"/>
        </w:rPr>
        <w:t>7</w:t>
      </w:r>
      <w:r w:rsidRPr="002B56A2">
        <w:t xml:space="preserve"> Paper Statement fee </w:t>
      </w:r>
      <w:proofErr w:type="gramStart"/>
      <w:r w:rsidRPr="002B56A2">
        <w:t>waived</w:t>
      </w:r>
      <w:proofErr w:type="gramEnd"/>
      <w:r w:rsidRPr="002B56A2">
        <w:t xml:space="preserve"> for members under age 18 or over 65.</w:t>
      </w:r>
    </w:p>
    <w:p w14:paraId="5AC98342" w14:textId="4515AF17" w:rsidR="00DA34E0" w:rsidRPr="002B56A2" w:rsidRDefault="002B56A2" w:rsidP="002B56A2">
      <w:pPr>
        <w:pStyle w:val="CU-01Bodycopystandard"/>
      </w:pPr>
      <w:r w:rsidRPr="002B56A2">
        <w:rPr>
          <w:b/>
          <w:bCs/>
          <w:vertAlign w:val="superscript"/>
        </w:rPr>
        <w:t>8</w:t>
      </w:r>
      <w:r>
        <w:t xml:space="preserve"> </w:t>
      </w:r>
      <w:r w:rsidRPr="002B56A2">
        <w:t>Bill Pay fee waived if at least one bill is paid in the month, enrollment is optional.</w:t>
      </w:r>
    </w:p>
    <w:p w14:paraId="1CD7F327" w14:textId="22401154" w:rsidR="002B56A2" w:rsidRPr="002B56A2" w:rsidRDefault="002B56A2" w:rsidP="002B56A2">
      <w:pPr>
        <w:pStyle w:val="CU-01Bodycopystandard"/>
      </w:pPr>
      <w:r w:rsidRPr="002B56A2">
        <w:rPr>
          <w:b/>
        </w:rPr>
        <w:t>Notice regarding ATM fees by others:</w:t>
      </w:r>
      <w:r w:rsidRPr="002B56A2">
        <w:t xml:space="preserve"> If you use an automated teller machine that is not operated by us, you may be charged a fee by the operator of the machine and/or by an automated transfer network, in addition to fees charged by OHCU.</w:t>
      </w:r>
    </w:p>
    <w:p w14:paraId="5461AEDF" w14:textId="2306A5B9" w:rsidR="002559CD" w:rsidRPr="007970F9" w:rsidRDefault="00CD5D79" w:rsidP="002E33CB">
      <w:pPr>
        <w:spacing w:before="120"/>
      </w:pPr>
      <w:r>
        <w:rPr>
          <w:noProof/>
        </w:rPr>
        <w:drawing>
          <wp:anchor distT="0" distB="0" distL="114300" distR="114300" simplePos="0" relativeHeight="251657216" behindDoc="0" locked="0" layoutInCell="1" allowOverlap="1" wp14:anchorId="33435347" wp14:editId="65642863">
            <wp:simplePos x="0" y="0"/>
            <wp:positionH relativeFrom="column">
              <wp:posOffset>5621403</wp:posOffset>
            </wp:positionH>
            <wp:positionV relativeFrom="paragraph">
              <wp:posOffset>59779</wp:posOffset>
            </wp:positionV>
            <wp:extent cx="1218065" cy="570459"/>
            <wp:effectExtent l="0" t="0" r="1270" b="1270"/>
            <wp:wrapNone/>
            <wp:docPr id="1" name="Picture 1" descr="http://www.ncua.gov/PublishingImages/NCUAGraphics/BlkENGinsurlab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cua.gov/PublishingImages/NCUAGraphics/BlkENGinsurlabel.jpg"/>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218065" cy="57045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D1E47" w:rsidRPr="001569D7">
        <w:rPr>
          <w:rFonts w:cs="Arial"/>
          <w:sz w:val="20"/>
          <w:szCs w:val="20"/>
        </w:rPr>
        <w:t xml:space="preserve">This document replaces </w:t>
      </w:r>
      <w:proofErr w:type="gramStart"/>
      <w:r w:rsidR="004D1E47" w:rsidRPr="001569D7">
        <w:rPr>
          <w:rFonts w:cs="Arial"/>
          <w:sz w:val="20"/>
          <w:szCs w:val="20"/>
        </w:rPr>
        <w:t>any and all</w:t>
      </w:r>
      <w:proofErr w:type="gramEnd"/>
      <w:r w:rsidR="004D1E47" w:rsidRPr="001569D7">
        <w:rPr>
          <w:rFonts w:cs="Arial"/>
          <w:sz w:val="20"/>
          <w:szCs w:val="20"/>
        </w:rPr>
        <w:t xml:space="preserve"> previous versions.</w:t>
      </w:r>
      <w:r w:rsidR="004D1E47" w:rsidRPr="001569D7">
        <w:rPr>
          <w:rFonts w:cs="Arial"/>
          <w:sz w:val="20"/>
          <w:szCs w:val="20"/>
        </w:rPr>
        <w:tab/>
      </w:r>
      <w:r w:rsidR="004D1E47">
        <w:rPr>
          <w:rFonts w:ascii="Calibri" w:hAnsi="Calibri" w:cs="Calibri"/>
          <w:sz w:val="20"/>
          <w:szCs w:val="20"/>
        </w:rPr>
        <w:tab/>
      </w:r>
      <w:r w:rsidR="004D1E47">
        <w:rPr>
          <w:rFonts w:ascii="Calibri" w:hAnsi="Calibri" w:cs="Calibri"/>
          <w:sz w:val="20"/>
          <w:szCs w:val="20"/>
        </w:rPr>
        <w:tab/>
      </w:r>
      <w:r w:rsidR="004D1E47">
        <w:rPr>
          <w:rFonts w:ascii="Calibri" w:hAnsi="Calibri" w:cs="Calibri"/>
          <w:sz w:val="20"/>
          <w:szCs w:val="20"/>
        </w:rPr>
        <w:tab/>
      </w:r>
      <w:r w:rsidR="004D1E47">
        <w:rPr>
          <w:rFonts w:ascii="Calibri" w:hAnsi="Calibri" w:cs="Calibri"/>
          <w:sz w:val="20"/>
          <w:szCs w:val="20"/>
        </w:rPr>
        <w:tab/>
      </w:r>
    </w:p>
    <w:sectPr w:rsidR="002559CD" w:rsidRPr="007970F9" w:rsidSect="0021048C">
      <w:type w:val="continuous"/>
      <w:pgSz w:w="12240" w:h="15840" w:code="1"/>
      <w:pgMar w:top="1152" w:right="720" w:bottom="1080" w:left="720" w:header="547" w:footer="537" w:gutter="0"/>
      <w:cols w:space="28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4255BC" w14:textId="77777777" w:rsidR="00C73A2C" w:rsidRPr="009F0C35" w:rsidRDefault="00C73A2C" w:rsidP="009F0C35">
      <w:r>
        <w:separator/>
      </w:r>
    </w:p>
  </w:endnote>
  <w:endnote w:type="continuationSeparator" w:id="0">
    <w:p w14:paraId="1EF2E695" w14:textId="77777777" w:rsidR="00C73A2C" w:rsidRPr="009F0C35" w:rsidRDefault="00C73A2C" w:rsidP="009F0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pperplate Gothic Bold">
    <w:panose1 w:val="020E07050202060204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2B4F1" w14:textId="12D185F9" w:rsidR="00CD5D79" w:rsidRPr="00CD5D79" w:rsidRDefault="00CD5D79" w:rsidP="00CD5D79">
    <w:pPr>
      <w:pBdr>
        <w:top w:val="single" w:sz="12" w:space="1" w:color="auto"/>
      </w:pBdr>
      <w:tabs>
        <w:tab w:val="right" w:pos="10800"/>
      </w:tabs>
      <w:spacing w:line="180" w:lineRule="exact"/>
      <w:rPr>
        <w:rFonts w:cs="Arial"/>
        <w:sz w:val="14"/>
        <w:szCs w:val="14"/>
      </w:rPr>
    </w:pPr>
    <w:r w:rsidRPr="000246C6">
      <w:rPr>
        <w:rFonts w:cs="Arial"/>
        <w:sz w:val="14"/>
        <w:szCs w:val="14"/>
      </w:rPr>
      <w:t>© 20</w:t>
    </w:r>
    <w:r>
      <w:rPr>
        <w:rFonts w:cs="Arial"/>
        <w:sz w:val="14"/>
        <w:szCs w:val="14"/>
      </w:rPr>
      <w:t>25</w:t>
    </w:r>
    <w:r w:rsidRPr="000246C6">
      <w:rPr>
        <w:rFonts w:cs="Arial"/>
        <w:sz w:val="14"/>
        <w:szCs w:val="14"/>
      </w:rPr>
      <w:t xml:space="preserve"> All Goals </w:t>
    </w:r>
    <w:r>
      <w:rPr>
        <w:rFonts w:cs="Arial"/>
        <w:sz w:val="14"/>
        <w:szCs w:val="14"/>
        <w:u w:val="double"/>
      </w:rPr>
      <w:t>Documents</w:t>
    </w:r>
    <w:r w:rsidRPr="000246C6">
      <w:rPr>
        <w:rFonts w:cs="Arial"/>
        <w:sz w:val="14"/>
        <w:szCs w:val="14"/>
      </w:rPr>
      <w:t xml:space="preserve"> &amp; Farleigh Wada Witt. All rights reserved.</w:t>
    </w:r>
    <w:r w:rsidRPr="003B4695">
      <w:rPr>
        <w:rFonts w:cs="Arial"/>
        <w:sz w:val="14"/>
        <w:szCs w:val="14"/>
      </w:rPr>
      <w:t xml:space="preserve"> </w:t>
    </w:r>
    <w:r w:rsidRPr="003B4695">
      <w:rPr>
        <w:rFonts w:cs="Arial"/>
        <w:i/>
        <w:sz w:val="14"/>
        <w:szCs w:val="14"/>
      </w:rPr>
      <w:t>Reproduction prohibited without written permission from A</w:t>
    </w:r>
    <w:r>
      <w:rPr>
        <w:rFonts w:cs="Arial"/>
        <w:i/>
        <w:sz w:val="14"/>
        <w:szCs w:val="14"/>
      </w:rPr>
      <w:t>ll Goals Documents.</w:t>
    </w:r>
    <w:r w:rsidRPr="007339CA">
      <w:rPr>
        <w:rFonts w:ascii="Verdana" w:hAnsi="Verdana"/>
        <w:sz w:val="13"/>
      </w:rPr>
      <w:tab/>
    </w:r>
    <w:r w:rsidR="00BE64E8">
      <w:rPr>
        <w:rFonts w:cs="Arial"/>
        <w:sz w:val="14"/>
        <w:szCs w:val="14"/>
      </w:rPr>
      <w:t>06-03-25</w:t>
    </w:r>
    <w:r>
      <w:rPr>
        <w:rFonts w:cs="Arial"/>
        <w:sz w:val="14"/>
        <w:szCs w:val="14"/>
      </w:rPr>
      <w:t xml:space="preserve"> </w:t>
    </w:r>
    <w:r>
      <w:rPr>
        <w:rFonts w:ascii="Copperplate Gothic Bold" w:hAnsi="Copperplate Gothic Bold" w:cs="Arial"/>
        <w:sz w:val="14"/>
        <w:szCs w:val="14"/>
      </w:rPr>
      <w:t>•</w:t>
    </w:r>
    <w:r>
      <w:rPr>
        <w:rFonts w:cs="Arial"/>
        <w:sz w:val="14"/>
        <w:szCs w:val="14"/>
      </w:rPr>
      <w:t xml:space="preserve"> </w:t>
    </w:r>
    <w:r w:rsidRPr="00377A70">
      <w:rPr>
        <w:rFonts w:ascii="Verdana" w:hAnsi="Verdana" w:cs="Arial"/>
        <w:sz w:val="14"/>
        <w:szCs w:val="14"/>
      </w:rPr>
      <w:fldChar w:fldCharType="begin"/>
    </w:r>
    <w:r w:rsidRPr="00377A70">
      <w:rPr>
        <w:rFonts w:ascii="Verdana" w:hAnsi="Verdana" w:cs="Arial"/>
        <w:sz w:val="14"/>
        <w:szCs w:val="14"/>
      </w:rPr>
      <w:instrText xml:space="preserve"> PAGE   \* MERGEFORMAT </w:instrText>
    </w:r>
    <w:r w:rsidRPr="00377A70">
      <w:rPr>
        <w:rFonts w:ascii="Verdana" w:hAnsi="Verdana" w:cs="Arial"/>
        <w:sz w:val="14"/>
        <w:szCs w:val="14"/>
      </w:rPr>
      <w:fldChar w:fldCharType="separate"/>
    </w:r>
    <w:r>
      <w:rPr>
        <w:rFonts w:ascii="Verdana" w:hAnsi="Verdana" w:cs="Arial"/>
        <w:sz w:val="14"/>
        <w:szCs w:val="14"/>
      </w:rPr>
      <w:t>1</w:t>
    </w:r>
    <w:r w:rsidRPr="00377A70">
      <w:rPr>
        <w:rFonts w:ascii="Verdana" w:hAnsi="Verdana" w:cs="Arial"/>
        <w:noProof/>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962BA" w14:textId="48697E83" w:rsidR="00CD5D79" w:rsidRPr="00CD5D79" w:rsidRDefault="00CD5D79" w:rsidP="00CD5D79">
    <w:pPr>
      <w:pBdr>
        <w:top w:val="single" w:sz="12" w:space="1" w:color="auto"/>
      </w:pBdr>
      <w:tabs>
        <w:tab w:val="right" w:pos="10800"/>
      </w:tabs>
      <w:spacing w:line="180" w:lineRule="exact"/>
      <w:rPr>
        <w:rFonts w:cs="Arial"/>
        <w:sz w:val="14"/>
        <w:szCs w:val="14"/>
      </w:rPr>
    </w:pPr>
    <w:r w:rsidRPr="000246C6">
      <w:rPr>
        <w:rFonts w:cs="Arial"/>
        <w:sz w:val="14"/>
        <w:szCs w:val="14"/>
      </w:rPr>
      <w:t>© 20</w:t>
    </w:r>
    <w:r>
      <w:rPr>
        <w:rFonts w:cs="Arial"/>
        <w:sz w:val="14"/>
        <w:szCs w:val="14"/>
      </w:rPr>
      <w:t>25</w:t>
    </w:r>
    <w:r w:rsidRPr="000246C6">
      <w:rPr>
        <w:rFonts w:cs="Arial"/>
        <w:sz w:val="14"/>
        <w:szCs w:val="14"/>
      </w:rPr>
      <w:t xml:space="preserve"> All Goals </w:t>
    </w:r>
    <w:r>
      <w:rPr>
        <w:rFonts w:cs="Arial"/>
        <w:sz w:val="14"/>
        <w:szCs w:val="14"/>
        <w:u w:val="double"/>
      </w:rPr>
      <w:t>Documents</w:t>
    </w:r>
    <w:r w:rsidRPr="000246C6">
      <w:rPr>
        <w:rFonts w:cs="Arial"/>
        <w:sz w:val="14"/>
        <w:szCs w:val="14"/>
      </w:rPr>
      <w:t xml:space="preserve"> &amp; Farleigh Wada Witt. All rights reserved.</w:t>
    </w:r>
    <w:r w:rsidRPr="003B4695">
      <w:rPr>
        <w:rFonts w:cs="Arial"/>
        <w:sz w:val="14"/>
        <w:szCs w:val="14"/>
      </w:rPr>
      <w:t xml:space="preserve"> </w:t>
    </w:r>
    <w:r w:rsidRPr="003B4695">
      <w:rPr>
        <w:rFonts w:cs="Arial"/>
        <w:i/>
        <w:sz w:val="14"/>
        <w:szCs w:val="14"/>
      </w:rPr>
      <w:t>Reproduction prohibited without written permission from A</w:t>
    </w:r>
    <w:r>
      <w:rPr>
        <w:rFonts w:cs="Arial"/>
        <w:i/>
        <w:sz w:val="14"/>
        <w:szCs w:val="14"/>
      </w:rPr>
      <w:t>ll Goals Documents.</w:t>
    </w:r>
    <w:r w:rsidRPr="007339CA">
      <w:rPr>
        <w:rFonts w:ascii="Verdana" w:hAnsi="Verdana"/>
        <w:sz w:val="13"/>
      </w:rPr>
      <w:tab/>
    </w:r>
    <w:r w:rsidR="003A069D">
      <w:rPr>
        <w:rFonts w:cs="Arial"/>
        <w:sz w:val="14"/>
        <w:szCs w:val="14"/>
      </w:rPr>
      <w:t>0</w:t>
    </w:r>
    <w:r w:rsidR="00BE64E8">
      <w:rPr>
        <w:rFonts w:cs="Arial"/>
        <w:sz w:val="14"/>
        <w:szCs w:val="14"/>
      </w:rPr>
      <w:t>6</w:t>
    </w:r>
    <w:r w:rsidR="003A069D">
      <w:rPr>
        <w:rFonts w:cs="Arial"/>
        <w:sz w:val="14"/>
        <w:szCs w:val="14"/>
      </w:rPr>
      <w:t>-</w:t>
    </w:r>
    <w:r w:rsidR="00BE64E8">
      <w:rPr>
        <w:rFonts w:cs="Arial"/>
        <w:sz w:val="14"/>
        <w:szCs w:val="14"/>
      </w:rPr>
      <w:t>03</w:t>
    </w:r>
    <w:r>
      <w:rPr>
        <w:rFonts w:cs="Arial"/>
        <w:sz w:val="14"/>
        <w:szCs w:val="14"/>
      </w:rPr>
      <w:t xml:space="preserve">-25 </w:t>
    </w:r>
    <w:r>
      <w:rPr>
        <w:rFonts w:ascii="Copperplate Gothic Bold" w:hAnsi="Copperplate Gothic Bold" w:cs="Arial"/>
        <w:sz w:val="14"/>
        <w:szCs w:val="14"/>
      </w:rPr>
      <w:t>•</w:t>
    </w:r>
    <w:r>
      <w:rPr>
        <w:rFonts w:cs="Arial"/>
        <w:sz w:val="14"/>
        <w:szCs w:val="14"/>
      </w:rPr>
      <w:t xml:space="preserve"> </w:t>
    </w:r>
    <w:r w:rsidRPr="00377A70">
      <w:rPr>
        <w:rFonts w:ascii="Verdana" w:hAnsi="Verdana" w:cs="Arial"/>
        <w:sz w:val="14"/>
        <w:szCs w:val="14"/>
      </w:rPr>
      <w:fldChar w:fldCharType="begin"/>
    </w:r>
    <w:r w:rsidRPr="00377A70">
      <w:rPr>
        <w:rFonts w:ascii="Verdana" w:hAnsi="Verdana" w:cs="Arial"/>
        <w:sz w:val="14"/>
        <w:szCs w:val="14"/>
      </w:rPr>
      <w:instrText xml:space="preserve"> PAGE   \* MERGEFORMAT </w:instrText>
    </w:r>
    <w:r w:rsidRPr="00377A70">
      <w:rPr>
        <w:rFonts w:ascii="Verdana" w:hAnsi="Verdana" w:cs="Arial"/>
        <w:sz w:val="14"/>
        <w:szCs w:val="14"/>
      </w:rPr>
      <w:fldChar w:fldCharType="separate"/>
    </w:r>
    <w:r>
      <w:rPr>
        <w:rFonts w:ascii="Verdana" w:hAnsi="Verdana" w:cs="Arial"/>
        <w:sz w:val="14"/>
        <w:szCs w:val="14"/>
      </w:rPr>
      <w:t>1</w:t>
    </w:r>
    <w:r w:rsidRPr="00377A70">
      <w:rPr>
        <w:rFonts w:ascii="Verdana" w:hAnsi="Verdana" w:cs="Arial"/>
        <w:noProof/>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18BA98" w14:textId="77777777" w:rsidR="00C73A2C" w:rsidRPr="009F0C35" w:rsidRDefault="00C73A2C" w:rsidP="009F0C35">
      <w:r>
        <w:separator/>
      </w:r>
    </w:p>
  </w:footnote>
  <w:footnote w:type="continuationSeparator" w:id="0">
    <w:p w14:paraId="2ACAD650" w14:textId="77777777" w:rsidR="00C73A2C" w:rsidRPr="009F0C35" w:rsidRDefault="00C73A2C" w:rsidP="009F0C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432DB" w14:textId="77777777" w:rsidR="00CD5D79" w:rsidRPr="00792ABB" w:rsidRDefault="00CD5D79" w:rsidP="00CD5D79">
    <w:pPr>
      <w:pBdr>
        <w:bottom w:val="single" w:sz="12" w:space="4" w:color="auto"/>
      </w:pBdr>
      <w:tabs>
        <w:tab w:val="center" w:pos="4680"/>
        <w:tab w:val="right" w:pos="9360"/>
      </w:tabs>
      <w:jc w:val="center"/>
      <w:rPr>
        <w:rFonts w:ascii="Verdana" w:hAnsi="Verdana"/>
        <w:sz w:val="16"/>
      </w:rPr>
    </w:pPr>
    <w:r w:rsidRPr="00792ABB">
      <w:rPr>
        <w:rFonts w:ascii="Verdana" w:hAnsi="Verdana"/>
        <w:b/>
        <w:sz w:val="16"/>
      </w:rPr>
      <w:t>Old Hickory Credit Union</w:t>
    </w:r>
    <w:r w:rsidRPr="00792ABB">
      <w:rPr>
        <w:rFonts w:ascii="Verdana" w:hAnsi="Verdana"/>
        <w:sz w:val="16"/>
      </w:rPr>
      <w:t xml:space="preserve"> </w:t>
    </w:r>
    <w:r w:rsidRPr="00792ABB">
      <w:rPr>
        <w:rFonts w:ascii="Verdana" w:hAnsi="Verdana"/>
        <w:sz w:val="16"/>
      </w:rPr>
      <w:sym w:font="Wingdings" w:char="F09F"/>
    </w:r>
    <w:r w:rsidRPr="00792ABB">
      <w:rPr>
        <w:rFonts w:ascii="Verdana" w:hAnsi="Verdana"/>
        <w:sz w:val="16"/>
      </w:rPr>
      <w:t xml:space="preserve"> Our Rates and Service Charges</w:t>
    </w:r>
  </w:p>
  <w:p w14:paraId="73F6F07A" w14:textId="77777777" w:rsidR="00CD5D79" w:rsidRDefault="00CD5D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90" w:type="dxa"/>
      <w:tblLayout w:type="fixed"/>
      <w:tblCellMar>
        <w:left w:w="0" w:type="dxa"/>
        <w:right w:w="0" w:type="dxa"/>
      </w:tblCellMar>
      <w:tblLook w:val="04A0" w:firstRow="1" w:lastRow="0" w:firstColumn="1" w:lastColumn="0" w:noHBand="0" w:noVBand="1"/>
      <w:tblCaption w:val="Our Electronic Funds Transfer Terms"/>
      <w:tblDescription w:val="Our Electronic Funds Transfer Terms document title, Credit Union logo and contact information."/>
    </w:tblPr>
    <w:tblGrid>
      <w:gridCol w:w="5940"/>
      <w:gridCol w:w="1890"/>
      <w:gridCol w:w="3060"/>
    </w:tblGrid>
    <w:tr w:rsidR="00CE2187" w:rsidRPr="002569F4" w14:paraId="48E2F703" w14:textId="77777777" w:rsidTr="00E76B6E">
      <w:trPr>
        <w:cantSplit/>
        <w:trHeight w:hRule="exact" w:val="990"/>
      </w:trPr>
      <w:tc>
        <w:tcPr>
          <w:tcW w:w="5940" w:type="dxa"/>
          <w:tcBorders>
            <w:right w:val="single" w:sz="4" w:space="0" w:color="auto"/>
          </w:tcBorders>
          <w:vAlign w:val="center"/>
        </w:tcPr>
        <w:p w14:paraId="456A5ADD" w14:textId="77777777" w:rsidR="00CE2187" w:rsidRPr="002569F4" w:rsidRDefault="00CE2187" w:rsidP="00CE2187">
          <w:pPr>
            <w:keepNext/>
            <w:suppressAutoHyphens/>
            <w:jc w:val="center"/>
            <w:outlineLvl w:val="0"/>
            <w:rPr>
              <w:rFonts w:ascii="Arial Narrow" w:eastAsia="Times New Roman" w:hAnsi="Arial Narrow"/>
              <w:b/>
              <w:bCs/>
              <w:color w:val="2F5496"/>
              <w:kern w:val="32"/>
              <w:sz w:val="32"/>
              <w:szCs w:val="32"/>
            </w:rPr>
          </w:pPr>
          <w:bookmarkStart w:id="1" w:name="_Hlk36726450"/>
          <w:r>
            <w:rPr>
              <w:rFonts w:ascii="Arial Narrow" w:eastAsia="Times New Roman" w:hAnsi="Arial Narrow"/>
              <w:b/>
              <w:bCs/>
              <w:color w:val="20418F"/>
              <w:kern w:val="32"/>
              <w:sz w:val="32"/>
              <w:szCs w:val="32"/>
            </w:rPr>
            <w:t>Our Rates &amp; Service Charges</w:t>
          </w:r>
        </w:p>
      </w:tc>
      <w:tc>
        <w:tcPr>
          <w:tcW w:w="1890" w:type="dxa"/>
        </w:tcPr>
        <w:p w14:paraId="1C2CB90A" w14:textId="77777777" w:rsidR="00CE2187" w:rsidRPr="002569F4" w:rsidRDefault="00CE2187" w:rsidP="00CE2187">
          <w:pPr>
            <w:widowControl w:val="0"/>
            <w:tabs>
              <w:tab w:val="right" w:pos="2140"/>
              <w:tab w:val="right" w:pos="3720"/>
              <w:tab w:val="right" w:pos="5260"/>
              <w:tab w:val="right" w:pos="6540"/>
              <w:tab w:val="right" w:pos="8300"/>
            </w:tabs>
            <w:autoSpaceDE w:val="0"/>
            <w:autoSpaceDN w:val="0"/>
            <w:adjustRightInd w:val="0"/>
            <w:spacing w:before="160"/>
            <w:ind w:left="174" w:right="-1440"/>
            <w:rPr>
              <w:rFonts w:cs="Arial"/>
              <w:spacing w:val="-1"/>
              <w:kern w:val="1"/>
              <w:sz w:val="14"/>
              <w:szCs w:val="14"/>
            </w:rPr>
          </w:pPr>
          <w:r>
            <w:rPr>
              <w:rFonts w:cs="Arial"/>
              <w:noProof/>
              <w:spacing w:val="-1"/>
              <w:kern w:val="1"/>
              <w:sz w:val="14"/>
              <w:szCs w:val="14"/>
            </w:rPr>
            <w:drawing>
              <wp:anchor distT="0" distB="0" distL="114300" distR="114300" simplePos="0" relativeHeight="251659264" behindDoc="0" locked="0" layoutInCell="1" allowOverlap="1" wp14:anchorId="5C2C590E" wp14:editId="2C6161ED">
                <wp:simplePos x="0" y="0"/>
                <wp:positionH relativeFrom="column">
                  <wp:posOffset>19639</wp:posOffset>
                </wp:positionH>
                <wp:positionV relativeFrom="paragraph">
                  <wp:posOffset>53975</wp:posOffset>
                </wp:positionV>
                <wp:extent cx="1114661" cy="578914"/>
                <wp:effectExtent l="0" t="0" r="0" b="0"/>
                <wp:wrapNone/>
                <wp:docPr id="20749904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990430" name="Picture 2074990430"/>
                        <pic:cNvPicPr/>
                      </pic:nvPicPr>
                      <pic:blipFill>
                        <a:blip r:embed="rId1">
                          <a:extLst>
                            <a:ext uri="{28A0092B-C50C-407E-A947-70E740481C1C}">
                              <a14:useLocalDpi xmlns:a14="http://schemas.microsoft.com/office/drawing/2010/main" val="0"/>
                            </a:ext>
                          </a:extLst>
                        </a:blip>
                        <a:stretch>
                          <a:fillRect/>
                        </a:stretch>
                      </pic:blipFill>
                      <pic:spPr>
                        <a:xfrm>
                          <a:off x="0" y="0"/>
                          <a:ext cx="1114661" cy="578914"/>
                        </a:xfrm>
                        <a:prstGeom prst="rect">
                          <a:avLst/>
                        </a:prstGeom>
                      </pic:spPr>
                    </pic:pic>
                  </a:graphicData>
                </a:graphic>
                <wp14:sizeRelH relativeFrom="margin">
                  <wp14:pctWidth>0</wp14:pctWidth>
                </wp14:sizeRelH>
                <wp14:sizeRelV relativeFrom="margin">
                  <wp14:pctHeight>0</wp14:pctHeight>
                </wp14:sizeRelV>
              </wp:anchor>
            </w:drawing>
          </w:r>
        </w:p>
      </w:tc>
      <w:tc>
        <w:tcPr>
          <w:tcW w:w="3060" w:type="dxa"/>
        </w:tcPr>
        <w:p w14:paraId="7AC3658F" w14:textId="77777777" w:rsidR="00CE2187" w:rsidRPr="002569F4" w:rsidRDefault="00CE2187" w:rsidP="00CE2187">
          <w:pPr>
            <w:tabs>
              <w:tab w:val="left" w:pos="545"/>
              <w:tab w:val="left" w:pos="2695"/>
              <w:tab w:val="left" w:pos="2875"/>
              <w:tab w:val="right" w:pos="4795"/>
            </w:tabs>
            <w:spacing w:before="240"/>
            <w:ind w:left="86" w:right="101"/>
            <w:rPr>
              <w:rFonts w:ascii="Verdana" w:hAnsi="Verdana"/>
              <w:sz w:val="14"/>
              <w:szCs w:val="14"/>
            </w:rPr>
          </w:pPr>
          <w:r w:rsidRPr="002569F4">
            <w:rPr>
              <w:rFonts w:ascii="Verdana" w:hAnsi="Verdana"/>
              <w:sz w:val="14"/>
              <w:szCs w:val="14"/>
            </w:rPr>
            <w:t>P.O. Box 140478</w:t>
          </w:r>
          <w:r>
            <w:rPr>
              <w:rFonts w:ascii="Verdana" w:hAnsi="Verdana"/>
              <w:sz w:val="14"/>
              <w:szCs w:val="14"/>
            </w:rPr>
            <w:t xml:space="preserve"> </w:t>
          </w:r>
          <w:r w:rsidRPr="002569F4">
            <w:rPr>
              <w:rFonts w:ascii="Verdana" w:hAnsi="Verdana"/>
              <w:sz w:val="14"/>
              <w:szCs w:val="14"/>
            </w:rPr>
            <w:t>•</w:t>
          </w:r>
          <w:r>
            <w:rPr>
              <w:rFonts w:ascii="Verdana" w:hAnsi="Verdana"/>
              <w:sz w:val="14"/>
              <w:szCs w:val="14"/>
            </w:rPr>
            <w:t xml:space="preserve"> </w:t>
          </w:r>
          <w:r w:rsidRPr="002569F4">
            <w:rPr>
              <w:rFonts w:ascii="Verdana" w:hAnsi="Verdana"/>
              <w:sz w:val="14"/>
              <w:szCs w:val="14"/>
            </w:rPr>
            <w:t>Nashville, TN 37214</w:t>
          </w:r>
        </w:p>
        <w:p w14:paraId="351C103E" w14:textId="77777777" w:rsidR="00CE2187" w:rsidRPr="002569F4" w:rsidRDefault="00CE2187" w:rsidP="00CE2187">
          <w:pPr>
            <w:tabs>
              <w:tab w:val="left" w:pos="444"/>
              <w:tab w:val="left" w:pos="545"/>
              <w:tab w:val="left" w:pos="714"/>
              <w:tab w:val="right" w:pos="4795"/>
            </w:tabs>
            <w:ind w:left="86" w:right="86"/>
            <w:rPr>
              <w:rFonts w:ascii="Verdana" w:hAnsi="Verdana"/>
              <w:sz w:val="14"/>
              <w:szCs w:val="14"/>
            </w:rPr>
          </w:pPr>
          <w:r w:rsidRPr="002569F4">
            <w:rPr>
              <w:rFonts w:ascii="Verdana" w:hAnsi="Verdana"/>
              <w:sz w:val="14"/>
              <w:szCs w:val="14"/>
            </w:rPr>
            <w:t>Ph: 615-847-4043 • TF: 800-998-4043</w:t>
          </w:r>
        </w:p>
        <w:p w14:paraId="10A7E694" w14:textId="77777777" w:rsidR="00CE2187" w:rsidRPr="002569F4" w:rsidRDefault="00CE2187" w:rsidP="00CE2187">
          <w:pPr>
            <w:tabs>
              <w:tab w:val="left" w:pos="2695"/>
              <w:tab w:val="left" w:pos="2875"/>
              <w:tab w:val="right" w:pos="4795"/>
            </w:tabs>
            <w:ind w:left="86"/>
            <w:rPr>
              <w:noProof/>
              <w:sz w:val="14"/>
              <w:szCs w:val="14"/>
            </w:rPr>
          </w:pPr>
          <w:r w:rsidRPr="002569F4">
            <w:rPr>
              <w:rFonts w:ascii="Verdana" w:hAnsi="Verdana"/>
              <w:sz w:val="14"/>
              <w:szCs w:val="14"/>
            </w:rPr>
            <w:t>www.ohcu.org</w:t>
          </w:r>
        </w:p>
        <w:p w14:paraId="14457D42" w14:textId="77777777" w:rsidR="00CE2187" w:rsidRPr="002569F4" w:rsidRDefault="00CE2187" w:rsidP="00CE2187">
          <w:pPr>
            <w:widowControl w:val="0"/>
            <w:autoSpaceDE w:val="0"/>
            <w:autoSpaceDN w:val="0"/>
            <w:adjustRightInd w:val="0"/>
            <w:spacing w:before="240"/>
            <w:ind w:left="101"/>
            <w:rPr>
              <w:rFonts w:cs="Arial"/>
              <w:spacing w:val="-1"/>
              <w:kern w:val="1"/>
              <w:sz w:val="14"/>
              <w:szCs w:val="14"/>
            </w:rPr>
          </w:pPr>
        </w:p>
      </w:tc>
    </w:tr>
    <w:tr w:rsidR="00CE2187" w:rsidRPr="002569F4" w14:paraId="4B036451" w14:textId="77777777" w:rsidTr="00E76B6E">
      <w:trPr>
        <w:cantSplit/>
        <w:trHeight w:hRule="exact" w:val="70"/>
      </w:trPr>
      <w:tc>
        <w:tcPr>
          <w:tcW w:w="5940" w:type="dxa"/>
          <w:tcBorders>
            <w:bottom w:val="single" w:sz="12" w:space="0" w:color="auto"/>
          </w:tcBorders>
        </w:tcPr>
        <w:p w14:paraId="462B041C" w14:textId="77777777" w:rsidR="00CE2187" w:rsidRPr="002569F4" w:rsidRDefault="00CE2187" w:rsidP="00CE2187">
          <w:pPr>
            <w:rPr>
              <w:rFonts w:ascii="Verdana" w:hAnsi="Verdana"/>
              <w:sz w:val="20"/>
              <w:szCs w:val="20"/>
            </w:rPr>
          </w:pPr>
        </w:p>
      </w:tc>
      <w:tc>
        <w:tcPr>
          <w:tcW w:w="4950" w:type="dxa"/>
          <w:gridSpan w:val="2"/>
          <w:tcBorders>
            <w:bottom w:val="single" w:sz="12" w:space="0" w:color="auto"/>
          </w:tcBorders>
        </w:tcPr>
        <w:p w14:paraId="7B496DBA" w14:textId="77777777" w:rsidR="00CE2187" w:rsidRPr="002569F4" w:rsidRDefault="00CE2187" w:rsidP="00CE2187">
          <w:pPr>
            <w:tabs>
              <w:tab w:val="center" w:pos="4680"/>
              <w:tab w:val="right" w:pos="9360"/>
            </w:tabs>
            <w:rPr>
              <w:rFonts w:ascii="Verdana" w:hAnsi="Verdana"/>
              <w:sz w:val="20"/>
              <w:szCs w:val="20"/>
            </w:rPr>
          </w:pPr>
        </w:p>
      </w:tc>
    </w:tr>
    <w:bookmarkEnd w:id="1"/>
  </w:tbl>
  <w:p w14:paraId="4A81D4F0" w14:textId="77777777" w:rsidR="00EC7CB9" w:rsidRPr="00D064C5" w:rsidRDefault="00EC7CB9" w:rsidP="0051772F">
    <w:pPr>
      <w:tabs>
        <w:tab w:val="center" w:pos="4680"/>
        <w:tab w:val="right" w:pos="9360"/>
      </w:tabs>
      <w:rPr>
        <w:rFonts w:ascii="Verdana" w:hAnsi="Verdana"/>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C888F" w14:textId="77777777" w:rsidR="00CD5D79" w:rsidRPr="00792ABB" w:rsidRDefault="00CD5D79" w:rsidP="00CD5D79">
    <w:pPr>
      <w:pBdr>
        <w:bottom w:val="single" w:sz="12" w:space="4" w:color="auto"/>
      </w:pBdr>
      <w:tabs>
        <w:tab w:val="center" w:pos="4680"/>
        <w:tab w:val="right" w:pos="9360"/>
      </w:tabs>
      <w:jc w:val="center"/>
      <w:rPr>
        <w:rFonts w:ascii="Verdana" w:hAnsi="Verdana"/>
        <w:sz w:val="16"/>
      </w:rPr>
    </w:pPr>
    <w:r w:rsidRPr="00792ABB">
      <w:rPr>
        <w:rFonts w:ascii="Verdana" w:hAnsi="Verdana"/>
        <w:b/>
        <w:sz w:val="16"/>
      </w:rPr>
      <w:t>Old Hickory Credit Union</w:t>
    </w:r>
    <w:r w:rsidRPr="00792ABB">
      <w:rPr>
        <w:rFonts w:ascii="Verdana" w:hAnsi="Verdana"/>
        <w:sz w:val="16"/>
      </w:rPr>
      <w:t xml:space="preserve"> </w:t>
    </w:r>
    <w:r w:rsidRPr="00792ABB">
      <w:rPr>
        <w:rFonts w:ascii="Verdana" w:hAnsi="Verdana"/>
        <w:sz w:val="16"/>
      </w:rPr>
      <w:sym w:font="Wingdings" w:char="F09F"/>
    </w:r>
    <w:r w:rsidRPr="00792ABB">
      <w:rPr>
        <w:rFonts w:ascii="Verdana" w:hAnsi="Verdana"/>
        <w:sz w:val="16"/>
      </w:rPr>
      <w:t xml:space="preserve"> Our Rates and Service Charges</w:t>
    </w:r>
  </w:p>
  <w:p w14:paraId="3BDFE9F2" w14:textId="77777777" w:rsidR="00CD5D79" w:rsidRPr="00D064C5" w:rsidRDefault="00CD5D79" w:rsidP="0051772F">
    <w:pPr>
      <w:tabs>
        <w:tab w:val="center" w:pos="4680"/>
        <w:tab w:val="right" w:pos="9360"/>
      </w:tabs>
      <w:rPr>
        <w:rFonts w:ascii="Verdana" w:hAnsi="Verdana"/>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8E0948"/>
    <w:multiLevelType w:val="hybridMultilevel"/>
    <w:tmpl w:val="301C0104"/>
    <w:lvl w:ilvl="0" w:tplc="6E1820B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239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proofState w:spelling="clean" w:grammar="clean"/>
  <w:attachedTemplate r:id="rId1"/>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720"/>
  <w:autoHyphenation/>
  <w:consecutiveHyphenLimit w:val="3"/>
  <w:hyphenationZone w:val="288"/>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AEB"/>
    <w:rsid w:val="00005004"/>
    <w:rsid w:val="00020932"/>
    <w:rsid w:val="000228AC"/>
    <w:rsid w:val="000246C6"/>
    <w:rsid w:val="00031922"/>
    <w:rsid w:val="00034B16"/>
    <w:rsid w:val="00044FEA"/>
    <w:rsid w:val="000529E8"/>
    <w:rsid w:val="00064308"/>
    <w:rsid w:val="00065D5F"/>
    <w:rsid w:val="00071CAB"/>
    <w:rsid w:val="00080E59"/>
    <w:rsid w:val="0009202F"/>
    <w:rsid w:val="000A1FFA"/>
    <w:rsid w:val="000A6972"/>
    <w:rsid w:val="000A76A7"/>
    <w:rsid w:val="000B20FE"/>
    <w:rsid w:val="000C26FE"/>
    <w:rsid w:val="000C6E91"/>
    <w:rsid w:val="000E0F66"/>
    <w:rsid w:val="000E462C"/>
    <w:rsid w:val="00104F41"/>
    <w:rsid w:val="00107FA4"/>
    <w:rsid w:val="00110037"/>
    <w:rsid w:val="0011289B"/>
    <w:rsid w:val="00126246"/>
    <w:rsid w:val="00127C2E"/>
    <w:rsid w:val="00133519"/>
    <w:rsid w:val="00137B8B"/>
    <w:rsid w:val="00150309"/>
    <w:rsid w:val="00152585"/>
    <w:rsid w:val="00152C05"/>
    <w:rsid w:val="00155F17"/>
    <w:rsid w:val="001569D7"/>
    <w:rsid w:val="001620F6"/>
    <w:rsid w:val="00167C90"/>
    <w:rsid w:val="00176537"/>
    <w:rsid w:val="00197E2B"/>
    <w:rsid w:val="001C3685"/>
    <w:rsid w:val="001C4AF9"/>
    <w:rsid w:val="001C4DFE"/>
    <w:rsid w:val="001C59AB"/>
    <w:rsid w:val="001C728E"/>
    <w:rsid w:val="001C7312"/>
    <w:rsid w:val="001C739C"/>
    <w:rsid w:val="001D20CD"/>
    <w:rsid w:val="001D37B5"/>
    <w:rsid w:val="001E4E04"/>
    <w:rsid w:val="001E68ED"/>
    <w:rsid w:val="001E7514"/>
    <w:rsid w:val="001F5605"/>
    <w:rsid w:val="00200FD1"/>
    <w:rsid w:val="00206795"/>
    <w:rsid w:val="00207EE9"/>
    <w:rsid w:val="0021048C"/>
    <w:rsid w:val="0021224B"/>
    <w:rsid w:val="0021445F"/>
    <w:rsid w:val="002150A6"/>
    <w:rsid w:val="002168A0"/>
    <w:rsid w:val="00226298"/>
    <w:rsid w:val="002419B8"/>
    <w:rsid w:val="00246A9E"/>
    <w:rsid w:val="002507C4"/>
    <w:rsid w:val="0025109B"/>
    <w:rsid w:val="0025449D"/>
    <w:rsid w:val="002559CD"/>
    <w:rsid w:val="00265419"/>
    <w:rsid w:val="0026672D"/>
    <w:rsid w:val="002741AF"/>
    <w:rsid w:val="0029458C"/>
    <w:rsid w:val="002B3BCE"/>
    <w:rsid w:val="002B56A2"/>
    <w:rsid w:val="002C466F"/>
    <w:rsid w:val="002C6458"/>
    <w:rsid w:val="002D10BC"/>
    <w:rsid w:val="002D1CD9"/>
    <w:rsid w:val="002E33CB"/>
    <w:rsid w:val="002E384F"/>
    <w:rsid w:val="002F2867"/>
    <w:rsid w:val="002F62ED"/>
    <w:rsid w:val="00302BD6"/>
    <w:rsid w:val="0030370E"/>
    <w:rsid w:val="00305660"/>
    <w:rsid w:val="00340154"/>
    <w:rsid w:val="003525E7"/>
    <w:rsid w:val="00352874"/>
    <w:rsid w:val="00355B02"/>
    <w:rsid w:val="00361E91"/>
    <w:rsid w:val="003675BD"/>
    <w:rsid w:val="00370500"/>
    <w:rsid w:val="00376222"/>
    <w:rsid w:val="00377A70"/>
    <w:rsid w:val="003804EA"/>
    <w:rsid w:val="00386DF6"/>
    <w:rsid w:val="00396DBA"/>
    <w:rsid w:val="003A069D"/>
    <w:rsid w:val="003A2145"/>
    <w:rsid w:val="003A4220"/>
    <w:rsid w:val="003B4312"/>
    <w:rsid w:val="003B4695"/>
    <w:rsid w:val="003B4B87"/>
    <w:rsid w:val="003B4CBE"/>
    <w:rsid w:val="003C26AC"/>
    <w:rsid w:val="003C716E"/>
    <w:rsid w:val="003D2097"/>
    <w:rsid w:val="003D5627"/>
    <w:rsid w:val="003D5EA6"/>
    <w:rsid w:val="003D6A73"/>
    <w:rsid w:val="003E104B"/>
    <w:rsid w:val="003E1487"/>
    <w:rsid w:val="003F0D7D"/>
    <w:rsid w:val="003F40EA"/>
    <w:rsid w:val="003F41E1"/>
    <w:rsid w:val="00404A03"/>
    <w:rsid w:val="00406387"/>
    <w:rsid w:val="00410035"/>
    <w:rsid w:val="00430D7A"/>
    <w:rsid w:val="00431E9C"/>
    <w:rsid w:val="004475D7"/>
    <w:rsid w:val="00455E44"/>
    <w:rsid w:val="004642F7"/>
    <w:rsid w:val="004744BD"/>
    <w:rsid w:val="00484958"/>
    <w:rsid w:val="0049690E"/>
    <w:rsid w:val="004975C4"/>
    <w:rsid w:val="004A09D9"/>
    <w:rsid w:val="004B10CD"/>
    <w:rsid w:val="004B6CD8"/>
    <w:rsid w:val="004D1E47"/>
    <w:rsid w:val="004D6302"/>
    <w:rsid w:val="004F22EA"/>
    <w:rsid w:val="004F4223"/>
    <w:rsid w:val="0051156A"/>
    <w:rsid w:val="00516AF4"/>
    <w:rsid w:val="0051772F"/>
    <w:rsid w:val="00525286"/>
    <w:rsid w:val="005252BF"/>
    <w:rsid w:val="00531E33"/>
    <w:rsid w:val="0053236E"/>
    <w:rsid w:val="0054074B"/>
    <w:rsid w:val="005577C8"/>
    <w:rsid w:val="005640A9"/>
    <w:rsid w:val="00565E11"/>
    <w:rsid w:val="0059110D"/>
    <w:rsid w:val="00596F69"/>
    <w:rsid w:val="005A23BB"/>
    <w:rsid w:val="005A2582"/>
    <w:rsid w:val="005A337C"/>
    <w:rsid w:val="005A6977"/>
    <w:rsid w:val="005A6D3F"/>
    <w:rsid w:val="005B2C23"/>
    <w:rsid w:val="005E4A95"/>
    <w:rsid w:val="005E5705"/>
    <w:rsid w:val="005F0F5B"/>
    <w:rsid w:val="00610A2C"/>
    <w:rsid w:val="006178B9"/>
    <w:rsid w:val="00624D9E"/>
    <w:rsid w:val="00627432"/>
    <w:rsid w:val="00635DAD"/>
    <w:rsid w:val="00661906"/>
    <w:rsid w:val="00663EFF"/>
    <w:rsid w:val="0066451F"/>
    <w:rsid w:val="00674934"/>
    <w:rsid w:val="00676CF7"/>
    <w:rsid w:val="00683214"/>
    <w:rsid w:val="006973B3"/>
    <w:rsid w:val="006A564E"/>
    <w:rsid w:val="006B447E"/>
    <w:rsid w:val="006C68BD"/>
    <w:rsid w:val="006D63B9"/>
    <w:rsid w:val="006E0F72"/>
    <w:rsid w:val="006E127D"/>
    <w:rsid w:val="006E6771"/>
    <w:rsid w:val="006F2026"/>
    <w:rsid w:val="006F4164"/>
    <w:rsid w:val="007079E3"/>
    <w:rsid w:val="0071335C"/>
    <w:rsid w:val="0071444B"/>
    <w:rsid w:val="00716382"/>
    <w:rsid w:val="0072667C"/>
    <w:rsid w:val="007339CA"/>
    <w:rsid w:val="00735EF8"/>
    <w:rsid w:val="00746DD7"/>
    <w:rsid w:val="00747EAB"/>
    <w:rsid w:val="0075325B"/>
    <w:rsid w:val="0075395B"/>
    <w:rsid w:val="0076218F"/>
    <w:rsid w:val="00765D05"/>
    <w:rsid w:val="00766C86"/>
    <w:rsid w:val="007713EF"/>
    <w:rsid w:val="0077585D"/>
    <w:rsid w:val="00785425"/>
    <w:rsid w:val="00785A25"/>
    <w:rsid w:val="00785A73"/>
    <w:rsid w:val="00792ABB"/>
    <w:rsid w:val="007954A9"/>
    <w:rsid w:val="007970F9"/>
    <w:rsid w:val="007B22BA"/>
    <w:rsid w:val="007B2D70"/>
    <w:rsid w:val="007D235F"/>
    <w:rsid w:val="007D7485"/>
    <w:rsid w:val="007E1323"/>
    <w:rsid w:val="007F1DFA"/>
    <w:rsid w:val="00802FA4"/>
    <w:rsid w:val="00804FFD"/>
    <w:rsid w:val="00811129"/>
    <w:rsid w:val="008218D6"/>
    <w:rsid w:val="00825705"/>
    <w:rsid w:val="00832E25"/>
    <w:rsid w:val="0083742B"/>
    <w:rsid w:val="00840408"/>
    <w:rsid w:val="008415D3"/>
    <w:rsid w:val="00842064"/>
    <w:rsid w:val="00851E75"/>
    <w:rsid w:val="00860FE1"/>
    <w:rsid w:val="008611D0"/>
    <w:rsid w:val="0086480F"/>
    <w:rsid w:val="00865E11"/>
    <w:rsid w:val="00871242"/>
    <w:rsid w:val="0087786E"/>
    <w:rsid w:val="0088105E"/>
    <w:rsid w:val="00881171"/>
    <w:rsid w:val="008949F3"/>
    <w:rsid w:val="008A5813"/>
    <w:rsid w:val="008B022E"/>
    <w:rsid w:val="008B27A0"/>
    <w:rsid w:val="008D30E0"/>
    <w:rsid w:val="008D6241"/>
    <w:rsid w:val="008E3AC7"/>
    <w:rsid w:val="008E412C"/>
    <w:rsid w:val="008F4121"/>
    <w:rsid w:val="008F43F4"/>
    <w:rsid w:val="008F5063"/>
    <w:rsid w:val="00904A56"/>
    <w:rsid w:val="009060D3"/>
    <w:rsid w:val="0092320A"/>
    <w:rsid w:val="00923364"/>
    <w:rsid w:val="00936E28"/>
    <w:rsid w:val="00940D6F"/>
    <w:rsid w:val="00946378"/>
    <w:rsid w:val="00947195"/>
    <w:rsid w:val="00951738"/>
    <w:rsid w:val="00952D42"/>
    <w:rsid w:val="00956E9B"/>
    <w:rsid w:val="009701C8"/>
    <w:rsid w:val="00975E2D"/>
    <w:rsid w:val="00980E99"/>
    <w:rsid w:val="00981346"/>
    <w:rsid w:val="00986D00"/>
    <w:rsid w:val="00993BB1"/>
    <w:rsid w:val="0099625B"/>
    <w:rsid w:val="009A01B6"/>
    <w:rsid w:val="009A4490"/>
    <w:rsid w:val="009A4E39"/>
    <w:rsid w:val="009A6176"/>
    <w:rsid w:val="009B0F4D"/>
    <w:rsid w:val="009C2C5E"/>
    <w:rsid w:val="009C5F8C"/>
    <w:rsid w:val="009D67A9"/>
    <w:rsid w:val="009D69CE"/>
    <w:rsid w:val="009D7982"/>
    <w:rsid w:val="009E13C4"/>
    <w:rsid w:val="009E2D2A"/>
    <w:rsid w:val="009E6F1D"/>
    <w:rsid w:val="009F0C35"/>
    <w:rsid w:val="009F211D"/>
    <w:rsid w:val="009F71D9"/>
    <w:rsid w:val="00A00EDB"/>
    <w:rsid w:val="00A043FB"/>
    <w:rsid w:val="00A05CCA"/>
    <w:rsid w:val="00A178EA"/>
    <w:rsid w:val="00A2044A"/>
    <w:rsid w:val="00A315E2"/>
    <w:rsid w:val="00A409AC"/>
    <w:rsid w:val="00A47FD2"/>
    <w:rsid w:val="00A534DC"/>
    <w:rsid w:val="00A55265"/>
    <w:rsid w:val="00A65915"/>
    <w:rsid w:val="00A77BAE"/>
    <w:rsid w:val="00A807DE"/>
    <w:rsid w:val="00A83FCB"/>
    <w:rsid w:val="00A8436E"/>
    <w:rsid w:val="00A84B41"/>
    <w:rsid w:val="00AA0C85"/>
    <w:rsid w:val="00AA3B20"/>
    <w:rsid w:val="00AB48BD"/>
    <w:rsid w:val="00AB6533"/>
    <w:rsid w:val="00AD2459"/>
    <w:rsid w:val="00AE212A"/>
    <w:rsid w:val="00AF59B2"/>
    <w:rsid w:val="00AF7A4E"/>
    <w:rsid w:val="00B01B0B"/>
    <w:rsid w:val="00B01DCE"/>
    <w:rsid w:val="00B10606"/>
    <w:rsid w:val="00B13EEC"/>
    <w:rsid w:val="00B1612B"/>
    <w:rsid w:val="00B30C87"/>
    <w:rsid w:val="00B363C6"/>
    <w:rsid w:val="00B372B1"/>
    <w:rsid w:val="00B373A3"/>
    <w:rsid w:val="00B52E5F"/>
    <w:rsid w:val="00B6109F"/>
    <w:rsid w:val="00B62F9D"/>
    <w:rsid w:val="00B6301C"/>
    <w:rsid w:val="00B7319A"/>
    <w:rsid w:val="00B85FD4"/>
    <w:rsid w:val="00B86BA1"/>
    <w:rsid w:val="00BA62B1"/>
    <w:rsid w:val="00BB0AEB"/>
    <w:rsid w:val="00BB59F1"/>
    <w:rsid w:val="00BC2FF8"/>
    <w:rsid w:val="00BC6339"/>
    <w:rsid w:val="00BD3D63"/>
    <w:rsid w:val="00BD4C01"/>
    <w:rsid w:val="00BE0CA4"/>
    <w:rsid w:val="00BE64E8"/>
    <w:rsid w:val="00BF5BB9"/>
    <w:rsid w:val="00BF7660"/>
    <w:rsid w:val="00C00B41"/>
    <w:rsid w:val="00C00C0F"/>
    <w:rsid w:val="00C04542"/>
    <w:rsid w:val="00C05A20"/>
    <w:rsid w:val="00C17A33"/>
    <w:rsid w:val="00C27523"/>
    <w:rsid w:val="00C35F8F"/>
    <w:rsid w:val="00C42EC5"/>
    <w:rsid w:val="00C438D3"/>
    <w:rsid w:val="00C5531B"/>
    <w:rsid w:val="00C64B89"/>
    <w:rsid w:val="00C671F6"/>
    <w:rsid w:val="00C713CF"/>
    <w:rsid w:val="00C73A2C"/>
    <w:rsid w:val="00C773B2"/>
    <w:rsid w:val="00CA6EBA"/>
    <w:rsid w:val="00CD469E"/>
    <w:rsid w:val="00CD5D79"/>
    <w:rsid w:val="00CE2187"/>
    <w:rsid w:val="00CE2652"/>
    <w:rsid w:val="00CF024C"/>
    <w:rsid w:val="00CF24C0"/>
    <w:rsid w:val="00CF288A"/>
    <w:rsid w:val="00CF418E"/>
    <w:rsid w:val="00D02418"/>
    <w:rsid w:val="00D064C5"/>
    <w:rsid w:val="00D108AA"/>
    <w:rsid w:val="00D114C6"/>
    <w:rsid w:val="00D25C82"/>
    <w:rsid w:val="00D27E6A"/>
    <w:rsid w:val="00D303C2"/>
    <w:rsid w:val="00D31AEA"/>
    <w:rsid w:val="00D3438C"/>
    <w:rsid w:val="00D422DB"/>
    <w:rsid w:val="00D44FA0"/>
    <w:rsid w:val="00D528B6"/>
    <w:rsid w:val="00D53D20"/>
    <w:rsid w:val="00D541BF"/>
    <w:rsid w:val="00D724E2"/>
    <w:rsid w:val="00D77BD9"/>
    <w:rsid w:val="00D814F6"/>
    <w:rsid w:val="00D829EE"/>
    <w:rsid w:val="00D85380"/>
    <w:rsid w:val="00D857EA"/>
    <w:rsid w:val="00D85FCB"/>
    <w:rsid w:val="00DA34E0"/>
    <w:rsid w:val="00DA4844"/>
    <w:rsid w:val="00DB3EE8"/>
    <w:rsid w:val="00DB46E3"/>
    <w:rsid w:val="00DB6718"/>
    <w:rsid w:val="00DC24C5"/>
    <w:rsid w:val="00DC3578"/>
    <w:rsid w:val="00DF394F"/>
    <w:rsid w:val="00DF5DD6"/>
    <w:rsid w:val="00DF6491"/>
    <w:rsid w:val="00E01D2E"/>
    <w:rsid w:val="00E02174"/>
    <w:rsid w:val="00E10E86"/>
    <w:rsid w:val="00E112A2"/>
    <w:rsid w:val="00E2131A"/>
    <w:rsid w:val="00E23237"/>
    <w:rsid w:val="00E32502"/>
    <w:rsid w:val="00E34680"/>
    <w:rsid w:val="00E34F06"/>
    <w:rsid w:val="00E43F1D"/>
    <w:rsid w:val="00E442C8"/>
    <w:rsid w:val="00E55741"/>
    <w:rsid w:val="00E568B1"/>
    <w:rsid w:val="00E60B44"/>
    <w:rsid w:val="00E61F53"/>
    <w:rsid w:val="00E64608"/>
    <w:rsid w:val="00E67993"/>
    <w:rsid w:val="00E72CF5"/>
    <w:rsid w:val="00E96E34"/>
    <w:rsid w:val="00EA35D2"/>
    <w:rsid w:val="00EA7FFD"/>
    <w:rsid w:val="00EC0792"/>
    <w:rsid w:val="00EC29D6"/>
    <w:rsid w:val="00EC571C"/>
    <w:rsid w:val="00EC6E34"/>
    <w:rsid w:val="00EC7CB9"/>
    <w:rsid w:val="00ED7A60"/>
    <w:rsid w:val="00EE1714"/>
    <w:rsid w:val="00EF3CFB"/>
    <w:rsid w:val="00EF4360"/>
    <w:rsid w:val="00EF6E99"/>
    <w:rsid w:val="00F0115B"/>
    <w:rsid w:val="00F07493"/>
    <w:rsid w:val="00F145B9"/>
    <w:rsid w:val="00F3298D"/>
    <w:rsid w:val="00F36574"/>
    <w:rsid w:val="00F425C2"/>
    <w:rsid w:val="00F42F54"/>
    <w:rsid w:val="00F43D84"/>
    <w:rsid w:val="00F45F14"/>
    <w:rsid w:val="00F71875"/>
    <w:rsid w:val="00F732B7"/>
    <w:rsid w:val="00F77506"/>
    <w:rsid w:val="00F85982"/>
    <w:rsid w:val="00F878DF"/>
    <w:rsid w:val="00F91ED2"/>
    <w:rsid w:val="00FA33FB"/>
    <w:rsid w:val="00FB05BE"/>
    <w:rsid w:val="00FB5BCB"/>
    <w:rsid w:val="00FC0C03"/>
    <w:rsid w:val="00FD1991"/>
    <w:rsid w:val="00FD6CA4"/>
    <w:rsid w:val="00FE13FD"/>
    <w:rsid w:val="00FE196C"/>
    <w:rsid w:val="00FE2DED"/>
    <w:rsid w:val="00FE3D0D"/>
    <w:rsid w:val="00FE6C3A"/>
    <w:rsid w:val="00FF197B"/>
    <w:rsid w:val="00FF6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E9DE36"/>
  <w15:docId w15:val="{C41DC95F-0865-46FF-A04F-EAA732C45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DAD"/>
    <w:rPr>
      <w:rFonts w:ascii="Arial" w:hAnsi="Arial"/>
      <w:sz w:val="15"/>
      <w:szCs w:val="22"/>
    </w:rPr>
  </w:style>
  <w:style w:type="paragraph" w:styleId="Heading1">
    <w:name w:val="heading 1"/>
    <w:next w:val="Normal"/>
    <w:link w:val="Heading1Char"/>
    <w:uiPriority w:val="9"/>
    <w:rsid w:val="001569D7"/>
    <w:pPr>
      <w:keepNext/>
      <w:pBdr>
        <w:bottom w:val="single" w:sz="4" w:space="2" w:color="2F5496"/>
      </w:pBdr>
      <w:suppressAutoHyphens/>
      <w:spacing w:after="60"/>
      <w:jc w:val="center"/>
      <w:outlineLvl w:val="0"/>
    </w:pPr>
    <w:rPr>
      <w:rFonts w:ascii="Arial" w:eastAsia="Times New Roman" w:hAnsi="Arial"/>
      <w:b/>
      <w:bCs/>
      <w:color w:val="2F5496"/>
      <w:kern w:val="32"/>
      <w:sz w:val="26"/>
      <w:szCs w:val="32"/>
    </w:rPr>
  </w:style>
  <w:style w:type="paragraph" w:styleId="Heading2">
    <w:name w:val="heading 2"/>
    <w:next w:val="Normal"/>
    <w:link w:val="Heading2Char"/>
    <w:unhideWhenUsed/>
    <w:qFormat/>
    <w:rsid w:val="00B1612B"/>
    <w:pPr>
      <w:keepNext/>
      <w:suppressAutoHyphens/>
      <w:spacing w:before="60" w:after="20"/>
      <w:ind w:left="446" w:hanging="446"/>
      <w:outlineLvl w:val="1"/>
    </w:pPr>
    <w:rPr>
      <w:rFonts w:ascii="Verdana" w:eastAsia="Times New Roman" w:hAnsi="Verdana"/>
      <w:b/>
      <w:bCs/>
      <w:iCs/>
      <w:color w:val="2F5496"/>
      <w:sz w:val="18"/>
      <w:szCs w:val="28"/>
    </w:rPr>
  </w:style>
  <w:style w:type="paragraph" w:styleId="Heading3">
    <w:name w:val="heading 3"/>
    <w:next w:val="Normal"/>
    <w:link w:val="Heading3Char"/>
    <w:uiPriority w:val="9"/>
    <w:unhideWhenUsed/>
    <w:rsid w:val="00B1612B"/>
    <w:pPr>
      <w:keepNext/>
      <w:suppressAutoHyphens/>
      <w:spacing w:before="20" w:after="20"/>
      <w:ind w:left="259" w:hanging="259"/>
      <w:outlineLvl w:val="2"/>
    </w:pPr>
    <w:rPr>
      <w:rFonts w:ascii="Arial" w:eastAsia="Times New Roman" w:hAnsi="Arial"/>
      <w:b/>
      <w:bCs/>
      <w:sz w:val="18"/>
      <w:szCs w:val="26"/>
    </w:rPr>
  </w:style>
  <w:style w:type="paragraph" w:styleId="Heading4">
    <w:name w:val="heading 4"/>
    <w:basedOn w:val="Heading3"/>
    <w:next w:val="Normal"/>
    <w:link w:val="Heading4Char"/>
    <w:uiPriority w:val="9"/>
    <w:unhideWhenUsed/>
    <w:qFormat/>
    <w:rsid w:val="00C27523"/>
    <w:pPr>
      <w:spacing w:before="40"/>
      <w:outlineLvl w:val="3"/>
    </w:pPr>
  </w:style>
  <w:style w:type="paragraph" w:styleId="Heading5">
    <w:name w:val="heading 5"/>
    <w:basedOn w:val="Normal"/>
    <w:next w:val="Normal"/>
    <w:link w:val="Heading5Char"/>
    <w:uiPriority w:val="9"/>
    <w:semiHidden/>
    <w:unhideWhenUsed/>
    <w:qFormat/>
    <w:rsid w:val="005E5705"/>
    <w:pPr>
      <w:spacing w:before="240" w:after="60"/>
      <w:outlineLvl w:val="4"/>
    </w:pPr>
    <w:rPr>
      <w:rFonts w:ascii="Calibri" w:eastAsia="Times New Roman"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569D7"/>
    <w:rPr>
      <w:rFonts w:ascii="Arial" w:eastAsia="Times New Roman" w:hAnsi="Arial"/>
      <w:b/>
      <w:bCs/>
      <w:color w:val="2F5496"/>
      <w:kern w:val="32"/>
      <w:sz w:val="26"/>
      <w:szCs w:val="32"/>
    </w:rPr>
  </w:style>
  <w:style w:type="character" w:customStyle="1" w:styleId="Heading2Char">
    <w:name w:val="Heading 2 Char"/>
    <w:link w:val="Heading2"/>
    <w:rsid w:val="00B1612B"/>
    <w:rPr>
      <w:rFonts w:ascii="Verdana" w:eastAsia="Times New Roman" w:hAnsi="Verdana"/>
      <w:b/>
      <w:bCs/>
      <w:iCs/>
      <w:color w:val="2F5496"/>
      <w:sz w:val="18"/>
      <w:szCs w:val="28"/>
    </w:rPr>
  </w:style>
  <w:style w:type="character" w:customStyle="1" w:styleId="Heading3Char">
    <w:name w:val="Heading 3 Char"/>
    <w:link w:val="Heading3"/>
    <w:uiPriority w:val="9"/>
    <w:rsid w:val="00B1612B"/>
    <w:rPr>
      <w:rFonts w:ascii="Arial" w:eastAsia="Times New Roman" w:hAnsi="Arial"/>
      <w:b/>
      <w:bCs/>
      <w:sz w:val="18"/>
      <w:szCs w:val="26"/>
    </w:rPr>
  </w:style>
  <w:style w:type="table" w:styleId="TableGrid">
    <w:name w:val="Table Grid"/>
    <w:basedOn w:val="TableNormal"/>
    <w:uiPriority w:val="59"/>
    <w:rsid w:val="001C4AF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U-01Bodycopystandard">
    <w:name w:val="CU-01  Body copy standard"/>
    <w:rsid w:val="00BA62B1"/>
    <w:pPr>
      <w:spacing w:after="40" w:line="210" w:lineRule="exact"/>
      <w:jc w:val="both"/>
    </w:pPr>
    <w:rPr>
      <w:rFonts w:ascii="Arial" w:hAnsi="Arial"/>
      <w:sz w:val="18"/>
      <w:szCs w:val="22"/>
    </w:rPr>
  </w:style>
  <w:style w:type="paragraph" w:styleId="BalloonText">
    <w:name w:val="Balloon Text"/>
    <w:basedOn w:val="Normal"/>
    <w:link w:val="BalloonTextChar"/>
    <w:uiPriority w:val="99"/>
    <w:semiHidden/>
    <w:unhideWhenUsed/>
    <w:rsid w:val="00CF418E"/>
    <w:rPr>
      <w:rFonts w:ascii="Tahoma" w:hAnsi="Tahoma"/>
      <w:sz w:val="16"/>
      <w:szCs w:val="16"/>
      <w:lang w:val="x-none" w:eastAsia="x-none"/>
    </w:rPr>
  </w:style>
  <w:style w:type="character" w:customStyle="1" w:styleId="BalloonTextChar">
    <w:name w:val="Balloon Text Char"/>
    <w:link w:val="BalloonText"/>
    <w:uiPriority w:val="99"/>
    <w:semiHidden/>
    <w:rsid w:val="00CF418E"/>
    <w:rPr>
      <w:rFonts w:ascii="Tahoma" w:hAnsi="Tahoma" w:cs="Tahoma"/>
      <w:sz w:val="16"/>
      <w:szCs w:val="16"/>
    </w:rPr>
  </w:style>
  <w:style w:type="paragraph" w:styleId="Header">
    <w:name w:val="header"/>
    <w:basedOn w:val="Normal"/>
    <w:link w:val="HeaderChar"/>
    <w:uiPriority w:val="99"/>
    <w:unhideWhenUsed/>
    <w:rsid w:val="009F0C35"/>
    <w:pPr>
      <w:tabs>
        <w:tab w:val="center" w:pos="4680"/>
        <w:tab w:val="right" w:pos="9360"/>
      </w:tabs>
    </w:pPr>
    <w:rPr>
      <w:lang w:val="x-none" w:eastAsia="x-none"/>
    </w:rPr>
  </w:style>
  <w:style w:type="character" w:customStyle="1" w:styleId="HeaderChar">
    <w:name w:val="Header Char"/>
    <w:link w:val="Header"/>
    <w:uiPriority w:val="99"/>
    <w:rsid w:val="009F0C35"/>
    <w:rPr>
      <w:rFonts w:ascii="Arial" w:hAnsi="Arial"/>
      <w:sz w:val="15"/>
      <w:szCs w:val="22"/>
    </w:rPr>
  </w:style>
  <w:style w:type="paragraph" w:styleId="Footer">
    <w:name w:val="footer"/>
    <w:basedOn w:val="Normal"/>
    <w:link w:val="FooterChar"/>
    <w:uiPriority w:val="99"/>
    <w:unhideWhenUsed/>
    <w:rsid w:val="009F0C35"/>
    <w:pPr>
      <w:tabs>
        <w:tab w:val="center" w:pos="4680"/>
        <w:tab w:val="right" w:pos="9360"/>
      </w:tabs>
    </w:pPr>
    <w:rPr>
      <w:lang w:val="x-none" w:eastAsia="x-none"/>
    </w:rPr>
  </w:style>
  <w:style w:type="character" w:customStyle="1" w:styleId="FooterChar">
    <w:name w:val="Footer Char"/>
    <w:link w:val="Footer"/>
    <w:uiPriority w:val="99"/>
    <w:rsid w:val="009F0C35"/>
    <w:rPr>
      <w:rFonts w:ascii="Arial" w:hAnsi="Arial"/>
      <w:sz w:val="15"/>
      <w:szCs w:val="22"/>
    </w:rPr>
  </w:style>
  <w:style w:type="paragraph" w:customStyle="1" w:styleId="CU-02Bulletsstandard">
    <w:name w:val="CU-02  Bullets standard"/>
    <w:basedOn w:val="CU-01Bodycopystandard"/>
    <w:rsid w:val="00E442C8"/>
    <w:pPr>
      <w:ind w:left="187" w:hanging="187"/>
    </w:pPr>
    <w:rPr>
      <w:rFonts w:eastAsia="Times New Roman"/>
      <w:szCs w:val="20"/>
    </w:rPr>
  </w:style>
  <w:style w:type="character" w:styleId="CommentReference">
    <w:name w:val="annotation reference"/>
    <w:uiPriority w:val="99"/>
    <w:semiHidden/>
    <w:unhideWhenUsed/>
    <w:rsid w:val="000E0F66"/>
    <w:rPr>
      <w:sz w:val="16"/>
      <w:szCs w:val="16"/>
    </w:rPr>
  </w:style>
  <w:style w:type="paragraph" w:styleId="CommentText">
    <w:name w:val="annotation text"/>
    <w:basedOn w:val="Normal"/>
    <w:link w:val="CommentTextChar"/>
    <w:uiPriority w:val="99"/>
    <w:semiHidden/>
    <w:unhideWhenUsed/>
    <w:rsid w:val="000E0F66"/>
    <w:rPr>
      <w:sz w:val="20"/>
      <w:szCs w:val="20"/>
      <w:lang w:val="x-none" w:eastAsia="x-none"/>
    </w:rPr>
  </w:style>
  <w:style w:type="character" w:customStyle="1" w:styleId="CommentTextChar">
    <w:name w:val="Comment Text Char"/>
    <w:link w:val="CommentText"/>
    <w:uiPriority w:val="99"/>
    <w:semiHidden/>
    <w:rsid w:val="000E0F66"/>
    <w:rPr>
      <w:rFonts w:ascii="Arial" w:hAnsi="Arial"/>
    </w:rPr>
  </w:style>
  <w:style w:type="paragraph" w:styleId="CommentSubject">
    <w:name w:val="annotation subject"/>
    <w:basedOn w:val="CommentText"/>
    <w:next w:val="CommentText"/>
    <w:link w:val="CommentSubjectChar"/>
    <w:uiPriority w:val="99"/>
    <w:semiHidden/>
    <w:unhideWhenUsed/>
    <w:rsid w:val="000E0F66"/>
    <w:rPr>
      <w:b/>
      <w:bCs/>
    </w:rPr>
  </w:style>
  <w:style w:type="character" w:customStyle="1" w:styleId="CommentSubjectChar">
    <w:name w:val="Comment Subject Char"/>
    <w:link w:val="CommentSubject"/>
    <w:uiPriority w:val="99"/>
    <w:semiHidden/>
    <w:rsid w:val="000E0F66"/>
    <w:rPr>
      <w:rFonts w:ascii="Arial" w:hAnsi="Arial"/>
      <w:b/>
      <w:bCs/>
    </w:rPr>
  </w:style>
  <w:style w:type="character" w:styleId="Hyperlink">
    <w:name w:val="Hyperlink"/>
    <w:uiPriority w:val="99"/>
    <w:unhideWhenUsed/>
    <w:rsid w:val="00080E59"/>
    <w:rPr>
      <w:color w:val="0000FF"/>
      <w:u w:val="single"/>
    </w:rPr>
  </w:style>
  <w:style w:type="character" w:customStyle="1" w:styleId="Heading4Char">
    <w:name w:val="Heading 4 Char"/>
    <w:link w:val="Heading4"/>
    <w:uiPriority w:val="9"/>
    <w:rsid w:val="00C27523"/>
    <w:rPr>
      <w:rFonts w:ascii="Arial" w:eastAsia="Times New Roman" w:hAnsi="Arial"/>
      <w:b/>
      <w:bCs/>
      <w:sz w:val="18"/>
      <w:szCs w:val="26"/>
    </w:rPr>
  </w:style>
  <w:style w:type="paragraph" w:styleId="Revision">
    <w:name w:val="Revision"/>
    <w:hidden/>
    <w:uiPriority w:val="99"/>
    <w:semiHidden/>
    <w:rsid w:val="00EF6E99"/>
    <w:rPr>
      <w:rFonts w:ascii="Arial" w:hAnsi="Arial"/>
      <w:sz w:val="15"/>
      <w:szCs w:val="22"/>
    </w:rPr>
  </w:style>
  <w:style w:type="paragraph" w:customStyle="1" w:styleId="CU-04Numerichangingindent">
    <w:name w:val="CU-04  Numeric hanging indent"/>
    <w:basedOn w:val="CU-02Bulletsstandard"/>
    <w:rsid w:val="00E442C8"/>
    <w:pPr>
      <w:ind w:left="302" w:hanging="302"/>
    </w:pPr>
  </w:style>
  <w:style w:type="paragraph" w:customStyle="1" w:styleId="CU-08RFleft-justifiedcopy">
    <w:name w:val="CU-08  R&amp;F left-justified copy"/>
    <w:rsid w:val="00EE1714"/>
    <w:pPr>
      <w:tabs>
        <w:tab w:val="left" w:pos="216"/>
      </w:tabs>
      <w:spacing w:before="40" w:line="266" w:lineRule="auto"/>
      <w:ind w:left="216" w:hanging="216"/>
    </w:pPr>
    <w:rPr>
      <w:rFonts w:ascii="Arial" w:hAnsi="Arial"/>
      <w:sz w:val="18"/>
      <w:szCs w:val="22"/>
    </w:rPr>
  </w:style>
  <w:style w:type="character" w:customStyle="1" w:styleId="Heading5Char">
    <w:name w:val="Heading 5 Char"/>
    <w:link w:val="Heading5"/>
    <w:semiHidden/>
    <w:rsid w:val="005E5705"/>
    <w:rPr>
      <w:rFonts w:ascii="Calibri" w:eastAsia="Times New Roman" w:hAnsi="Calibri" w:cs="Times New Roman"/>
      <w:b/>
      <w:bCs/>
      <w:i/>
      <w:iCs/>
      <w:sz w:val="26"/>
      <w:szCs w:val="26"/>
    </w:rPr>
  </w:style>
  <w:style w:type="paragraph" w:customStyle="1" w:styleId="CU-08RFAccountTiers">
    <w:name w:val="CU-08  R&amp;F Account Tiers"/>
    <w:rsid w:val="00EC7CB9"/>
    <w:pPr>
      <w:tabs>
        <w:tab w:val="left" w:pos="216"/>
      </w:tabs>
      <w:spacing w:line="288" w:lineRule="auto"/>
      <w:ind w:left="173"/>
    </w:pPr>
    <w:rPr>
      <w:rFonts w:ascii="Arial" w:hAnsi="Arial"/>
      <w:sz w:val="18"/>
      <w:szCs w:val="22"/>
    </w:rPr>
  </w:style>
  <w:style w:type="paragraph" w:customStyle="1" w:styleId="CU-05RFcentered">
    <w:name w:val="CU-05  R&amp;F centered"/>
    <w:basedOn w:val="CU-08RFAccountTiers"/>
    <w:rsid w:val="003A2145"/>
    <w:pPr>
      <w:ind w:left="0"/>
      <w:jc w:val="center"/>
    </w:pPr>
    <w:rPr>
      <w:rFonts w:eastAsia="Times New Roman"/>
      <w:szCs w:val="20"/>
    </w:rPr>
  </w:style>
  <w:style w:type="paragraph" w:customStyle="1" w:styleId="CU-06RFcenteredboldtitles">
    <w:name w:val="CU-06 R&amp;F centered bold titles"/>
    <w:qFormat/>
    <w:rsid w:val="003A2145"/>
    <w:pPr>
      <w:spacing w:line="190" w:lineRule="exact"/>
      <w:jc w:val="center"/>
    </w:pPr>
    <w:rPr>
      <w:rFonts w:ascii="Arial" w:hAnsi="Arial"/>
      <w:b/>
      <w:sz w:val="18"/>
      <w:szCs w:val="22"/>
    </w:rPr>
  </w:style>
  <w:style w:type="paragraph" w:customStyle="1" w:styleId="CU-07RFAccountNames">
    <w:name w:val="CU-07  R&amp;F Account Names"/>
    <w:basedOn w:val="CU-08RFAccountTiers"/>
    <w:rsid w:val="003A2145"/>
    <w:pPr>
      <w:ind w:left="0"/>
    </w:pPr>
    <w:rPr>
      <w:b/>
      <w:bCs/>
    </w:rPr>
  </w:style>
  <w:style w:type="paragraph" w:customStyle="1" w:styleId="CU-10FeeSchedule2column">
    <w:name w:val="CU-10 Fee Schedule 2 column"/>
    <w:basedOn w:val="CU-01Bodycopystandard"/>
    <w:qFormat/>
    <w:rsid w:val="004D1E47"/>
    <w:pPr>
      <w:tabs>
        <w:tab w:val="left" w:pos="288"/>
        <w:tab w:val="right" w:leader="dot" w:pos="5040"/>
      </w:tabs>
      <w:spacing w:after="0" w:line="240" w:lineRule="auto"/>
      <w:ind w:left="288" w:hanging="288"/>
      <w:jc w:val="left"/>
    </w:pPr>
  </w:style>
  <w:style w:type="paragraph" w:customStyle="1" w:styleId="CU-10FeeSchedule2column-2ndlinenospaceabove">
    <w:name w:val="CU-10 Fee Schedule 2 column - 2nd line no space above"/>
    <w:basedOn w:val="CU-10FeeSchedule2column"/>
    <w:qFormat/>
    <w:rsid w:val="006A564E"/>
  </w:style>
  <w:style w:type="paragraph" w:customStyle="1" w:styleId="CU-10FeeSchedule2column-nohangingindent">
    <w:name w:val="CU-10 Fee Schedule 2 column - no hanging indent"/>
    <w:basedOn w:val="CU-10FeeSchedule2column"/>
    <w:qFormat/>
    <w:rsid w:val="006A564E"/>
    <w:pPr>
      <w:ind w:left="0" w:firstLine="0"/>
    </w:pPr>
  </w:style>
  <w:style w:type="paragraph" w:customStyle="1" w:styleId="StyleCU-10FeeSchedule2columnBefore6ptLinespacingE">
    <w:name w:val="Style CU-10 Fee Schedule 2 column + Before:  6 pt Line spacing:  E..."/>
    <w:basedOn w:val="CU-10FeeSchedule2column"/>
    <w:rsid w:val="004D1E47"/>
    <w:pPr>
      <w:spacing w:before="80"/>
    </w:pPr>
    <w:rPr>
      <w:rFonts w:eastAsia="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http://www.ncua.gov/PublishingImages/NCUAGraphics/BlkENGinsurlabel.jp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y\Documents\2010%20Part%202a\UpdatedPart2s_R1\InnovativeCU_BDACpt2_FAD_10-08-2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09528-B7F3-4FC3-94B1-7F25067B9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InnovativeCU_BDACpt2_FAD_10-08-24.dot</Template>
  <TotalTime>0</TotalTime>
  <Pages>4</Pages>
  <Words>2369</Words>
  <Characters>13506</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Our Rates &amp; Service Charges - OHCU - 02-10-22</vt:lpstr>
    </vt:vector>
  </TitlesOfParts>
  <Company>Farleigh Wada Witt</Company>
  <LinksUpToDate>false</LinksUpToDate>
  <CharactersWithSpaces>15844</CharactersWithSpaces>
  <SharedDoc>false</SharedDoc>
  <HLinks>
    <vt:vector size="6" baseType="variant">
      <vt:variant>
        <vt:i4>2424848</vt:i4>
      </vt:variant>
      <vt:variant>
        <vt:i4>3</vt:i4>
      </vt:variant>
      <vt:variant>
        <vt:i4>0</vt:i4>
      </vt:variant>
      <vt:variant>
        <vt:i4>5</vt:i4>
      </vt:variant>
      <vt:variant>
        <vt:lpwstr>mailto:hscoggins@fwwlaw.com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Rates &amp; Service Charges - OHCU - 02-10-22</dc:title>
  <dc:creator>Tyler F. Parker and Hal Scoggins</dc:creator>
  <cp:keywords>© 2022 All Goals Solutions &amp; Farleigh Wada Witt. All rights reserved. Reproduction prohibited without written permission from All Goals Solutions.</cp:keywords>
  <dc:description/>
  <cp:lastModifiedBy>Tim Baker</cp:lastModifiedBy>
  <cp:revision>2</cp:revision>
  <cp:lastPrinted>2007-11-19T19:02:00Z</cp:lastPrinted>
  <dcterms:created xsi:type="dcterms:W3CDTF">2025-06-03T20:52:00Z</dcterms:created>
  <dcterms:modified xsi:type="dcterms:W3CDTF">2025-06-03T20:52:00Z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